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57" w:rsidRPr="0006058E" w:rsidRDefault="00A32367" w:rsidP="00E56957">
      <w:pPr>
        <w:ind w:left="708"/>
        <w:jc w:val="center"/>
        <w:rPr>
          <w:b/>
          <w:sz w:val="32"/>
          <w:szCs w:val="32"/>
        </w:rPr>
      </w:pPr>
      <w:r w:rsidRPr="0006058E">
        <w:rPr>
          <w:b/>
          <w:sz w:val="32"/>
          <w:szCs w:val="32"/>
        </w:rPr>
        <w:t xml:space="preserve">Объявление о </w:t>
      </w:r>
      <w:r w:rsidR="00405C5C" w:rsidRPr="0006058E">
        <w:rPr>
          <w:b/>
          <w:sz w:val="32"/>
          <w:szCs w:val="32"/>
        </w:rPr>
        <w:t xml:space="preserve">проведении закупа </w:t>
      </w:r>
      <w:r w:rsidR="007130CB">
        <w:rPr>
          <w:b/>
          <w:sz w:val="28"/>
          <w:szCs w:val="28"/>
        </w:rPr>
        <w:t>изделий медицинского назначения</w:t>
      </w:r>
    </w:p>
    <w:p w:rsidR="00A32367" w:rsidRPr="0006058E" w:rsidRDefault="004C15C8" w:rsidP="00F22873">
      <w:pPr>
        <w:pStyle w:val="a8"/>
        <w:jc w:val="center"/>
        <w:rPr>
          <w:b/>
          <w:sz w:val="32"/>
          <w:szCs w:val="32"/>
        </w:rPr>
      </w:pPr>
      <w:r w:rsidRPr="0006058E">
        <w:rPr>
          <w:b/>
          <w:sz w:val="32"/>
          <w:szCs w:val="32"/>
        </w:rPr>
        <w:t>способом тендера</w:t>
      </w:r>
    </w:p>
    <w:p w:rsidR="0006058E" w:rsidRPr="0006058E" w:rsidRDefault="0006058E" w:rsidP="0006058E">
      <w:pPr>
        <w:pStyle w:val="a8"/>
        <w:jc w:val="center"/>
        <w:rPr>
          <w:sz w:val="32"/>
          <w:szCs w:val="32"/>
        </w:rPr>
      </w:pPr>
    </w:p>
    <w:p w:rsidR="00A32367" w:rsidRPr="00D765B6" w:rsidRDefault="00A32367" w:rsidP="00A32367">
      <w:pPr>
        <w:jc w:val="both"/>
      </w:pPr>
      <w:r w:rsidRPr="00D765B6">
        <w:t>     Государственное коммунальное  предприятия на праве хозяйственного ведения «</w:t>
      </w:r>
      <w:r w:rsidR="00C275D0" w:rsidRPr="00D765B6">
        <w:t>Многопрофильная</w:t>
      </w:r>
      <w:r w:rsidRPr="00D765B6">
        <w:t xml:space="preserve"> областная больница» при Управлении здравоохранения </w:t>
      </w:r>
      <w:proofErr w:type="spellStart"/>
      <w:r w:rsidRPr="00D765B6">
        <w:t>Акмолинской</w:t>
      </w:r>
      <w:proofErr w:type="spellEnd"/>
      <w:r w:rsidRPr="00D765B6">
        <w:t xml:space="preserve"> области, 020000, </w:t>
      </w:r>
      <w:proofErr w:type="spellStart"/>
      <w:r w:rsidRPr="00D765B6">
        <w:t>Акмолинская</w:t>
      </w:r>
      <w:proofErr w:type="spellEnd"/>
      <w:r w:rsidRPr="00D765B6">
        <w:t xml:space="preserve"> область, </w:t>
      </w:r>
      <w:proofErr w:type="gramStart"/>
      <w:r w:rsidRPr="00D765B6">
        <w:t>г</w:t>
      </w:r>
      <w:proofErr w:type="gramEnd"/>
      <w:r w:rsidRPr="00D765B6">
        <w:t xml:space="preserve">. Кокшетау, ул. </w:t>
      </w:r>
      <w:r w:rsidR="007A4899" w:rsidRPr="00D765B6">
        <w:t xml:space="preserve">Р. </w:t>
      </w:r>
      <w:proofErr w:type="spellStart"/>
      <w:r w:rsidRPr="00D765B6">
        <w:t>Сабатаева</w:t>
      </w:r>
      <w:proofErr w:type="spellEnd"/>
      <w:r w:rsidRPr="00D765B6">
        <w:t xml:space="preserve"> </w:t>
      </w:r>
      <w:r w:rsidR="00E56957" w:rsidRPr="00D765B6">
        <w:t>–</w:t>
      </w:r>
      <w:r w:rsidR="00775681" w:rsidRPr="00D765B6">
        <w:t xml:space="preserve"> </w:t>
      </w:r>
      <w:r w:rsidRPr="00D765B6">
        <w:t xml:space="preserve">1 объявляет  о проведении </w:t>
      </w:r>
      <w:r w:rsidR="00405C5C" w:rsidRPr="00D765B6">
        <w:t xml:space="preserve">закупа способом </w:t>
      </w:r>
      <w:r w:rsidRPr="00D765B6">
        <w:t>тендера</w:t>
      </w:r>
      <w:r w:rsidR="00405C5C" w:rsidRPr="00D765B6">
        <w:t xml:space="preserve"> следующих товаров.</w:t>
      </w:r>
    </w:p>
    <w:tbl>
      <w:tblPr>
        <w:tblStyle w:val="a9"/>
        <w:tblW w:w="15801" w:type="dxa"/>
        <w:tblLayout w:type="fixed"/>
        <w:tblLook w:val="04A0"/>
      </w:tblPr>
      <w:tblGrid>
        <w:gridCol w:w="534"/>
        <w:gridCol w:w="2372"/>
        <w:gridCol w:w="8826"/>
        <w:gridCol w:w="740"/>
        <w:gridCol w:w="812"/>
        <w:gridCol w:w="1097"/>
        <w:gridCol w:w="1420"/>
      </w:tblGrid>
      <w:tr w:rsidR="00D765B6" w:rsidRPr="00D765B6" w:rsidTr="00F421C5">
        <w:trPr>
          <w:trHeight w:val="300"/>
        </w:trPr>
        <w:tc>
          <w:tcPr>
            <w:tcW w:w="534" w:type="dxa"/>
            <w:vMerge w:val="restart"/>
            <w:vAlign w:val="center"/>
            <w:hideMark/>
          </w:tcPr>
          <w:p w:rsidR="00D765B6" w:rsidRPr="00D765B6" w:rsidRDefault="00D765B6" w:rsidP="00D765B6">
            <w:pPr>
              <w:jc w:val="center"/>
              <w:rPr>
                <w:b/>
                <w:bCs/>
              </w:rPr>
            </w:pPr>
            <w:r w:rsidRPr="00D765B6">
              <w:rPr>
                <w:b/>
                <w:bCs/>
              </w:rPr>
              <w:t>№ Лота</w:t>
            </w:r>
          </w:p>
        </w:tc>
        <w:tc>
          <w:tcPr>
            <w:tcW w:w="2372" w:type="dxa"/>
            <w:vMerge w:val="restart"/>
            <w:vAlign w:val="center"/>
            <w:hideMark/>
          </w:tcPr>
          <w:p w:rsidR="00D765B6" w:rsidRPr="00D765B6" w:rsidRDefault="00D765B6" w:rsidP="00D765B6">
            <w:pPr>
              <w:jc w:val="center"/>
              <w:rPr>
                <w:b/>
                <w:bCs/>
              </w:rPr>
            </w:pPr>
            <w:r w:rsidRPr="00D765B6">
              <w:rPr>
                <w:b/>
                <w:bCs/>
              </w:rPr>
              <w:t>Наименование закупаемых товаров</w:t>
            </w:r>
          </w:p>
        </w:tc>
        <w:tc>
          <w:tcPr>
            <w:tcW w:w="8826" w:type="dxa"/>
            <w:vMerge w:val="restart"/>
            <w:vAlign w:val="center"/>
            <w:hideMark/>
          </w:tcPr>
          <w:p w:rsidR="00D765B6" w:rsidRPr="00D765B6" w:rsidRDefault="00D765B6" w:rsidP="00D765B6">
            <w:pPr>
              <w:jc w:val="center"/>
              <w:rPr>
                <w:b/>
                <w:bCs/>
              </w:rPr>
            </w:pPr>
            <w:r w:rsidRPr="00D765B6">
              <w:rPr>
                <w:b/>
                <w:bCs/>
              </w:rPr>
              <w:t>Техническая спецификация (описание) товаров, работ и услуг</w:t>
            </w:r>
          </w:p>
        </w:tc>
        <w:tc>
          <w:tcPr>
            <w:tcW w:w="740" w:type="dxa"/>
            <w:vMerge w:val="restart"/>
            <w:vAlign w:val="center"/>
            <w:hideMark/>
          </w:tcPr>
          <w:p w:rsidR="00D765B6" w:rsidRPr="00D765B6" w:rsidRDefault="00D765B6" w:rsidP="00D765B6">
            <w:pPr>
              <w:jc w:val="center"/>
              <w:rPr>
                <w:b/>
                <w:bCs/>
              </w:rPr>
            </w:pPr>
            <w:r w:rsidRPr="00D765B6">
              <w:rPr>
                <w:b/>
                <w:bCs/>
              </w:rPr>
              <w:t>Ед. измерен.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D765B6" w:rsidRPr="00D765B6" w:rsidRDefault="00D765B6" w:rsidP="00D765B6">
            <w:pPr>
              <w:jc w:val="center"/>
              <w:rPr>
                <w:b/>
                <w:bCs/>
              </w:rPr>
            </w:pPr>
            <w:r w:rsidRPr="00D765B6">
              <w:rPr>
                <w:b/>
                <w:bCs/>
              </w:rPr>
              <w:t>Кол-во, объем</w:t>
            </w:r>
          </w:p>
        </w:tc>
        <w:tc>
          <w:tcPr>
            <w:tcW w:w="1097" w:type="dxa"/>
            <w:vMerge w:val="restart"/>
            <w:vAlign w:val="center"/>
            <w:hideMark/>
          </w:tcPr>
          <w:p w:rsidR="00D765B6" w:rsidRPr="00D765B6" w:rsidRDefault="00D765B6" w:rsidP="00D765B6">
            <w:pPr>
              <w:jc w:val="center"/>
              <w:rPr>
                <w:b/>
                <w:bCs/>
              </w:rPr>
            </w:pPr>
            <w:r w:rsidRPr="00D765B6">
              <w:rPr>
                <w:b/>
                <w:bCs/>
              </w:rPr>
              <w:t>Цена за единицу, тенге</w:t>
            </w:r>
          </w:p>
        </w:tc>
        <w:tc>
          <w:tcPr>
            <w:tcW w:w="1420" w:type="dxa"/>
            <w:vMerge w:val="restart"/>
            <w:vAlign w:val="center"/>
            <w:hideMark/>
          </w:tcPr>
          <w:p w:rsidR="00D765B6" w:rsidRPr="00D765B6" w:rsidRDefault="00D765B6" w:rsidP="00D765B6">
            <w:pPr>
              <w:jc w:val="center"/>
              <w:rPr>
                <w:b/>
                <w:bCs/>
              </w:rPr>
            </w:pPr>
            <w:r w:rsidRPr="00D765B6">
              <w:rPr>
                <w:b/>
                <w:bCs/>
              </w:rPr>
              <w:t>Сумма,  выделенная для закупок</w:t>
            </w:r>
          </w:p>
        </w:tc>
      </w:tr>
      <w:tr w:rsidR="00D765B6" w:rsidRPr="00D765B6" w:rsidTr="00F421C5">
        <w:trPr>
          <w:trHeight w:val="690"/>
        </w:trPr>
        <w:tc>
          <w:tcPr>
            <w:tcW w:w="534" w:type="dxa"/>
            <w:vMerge/>
            <w:hideMark/>
          </w:tcPr>
          <w:p w:rsidR="00D765B6" w:rsidRPr="00D765B6" w:rsidRDefault="00D765B6" w:rsidP="00D765B6">
            <w:pPr>
              <w:jc w:val="both"/>
              <w:rPr>
                <w:b/>
                <w:bCs/>
              </w:rPr>
            </w:pPr>
          </w:p>
        </w:tc>
        <w:tc>
          <w:tcPr>
            <w:tcW w:w="2372" w:type="dxa"/>
            <w:vMerge/>
            <w:hideMark/>
          </w:tcPr>
          <w:p w:rsidR="00D765B6" w:rsidRPr="00D765B6" w:rsidRDefault="00D765B6" w:rsidP="00D765B6">
            <w:pPr>
              <w:jc w:val="both"/>
              <w:rPr>
                <w:b/>
                <w:bCs/>
              </w:rPr>
            </w:pPr>
          </w:p>
        </w:tc>
        <w:tc>
          <w:tcPr>
            <w:tcW w:w="8826" w:type="dxa"/>
            <w:vMerge/>
            <w:hideMark/>
          </w:tcPr>
          <w:p w:rsidR="00D765B6" w:rsidRPr="00D765B6" w:rsidRDefault="00D765B6" w:rsidP="00D765B6">
            <w:pPr>
              <w:jc w:val="both"/>
              <w:rPr>
                <w:b/>
                <w:bCs/>
              </w:rPr>
            </w:pPr>
          </w:p>
        </w:tc>
        <w:tc>
          <w:tcPr>
            <w:tcW w:w="740" w:type="dxa"/>
            <w:vMerge/>
            <w:hideMark/>
          </w:tcPr>
          <w:p w:rsidR="00D765B6" w:rsidRPr="00D765B6" w:rsidRDefault="00D765B6" w:rsidP="00D765B6">
            <w:pPr>
              <w:jc w:val="both"/>
              <w:rPr>
                <w:b/>
                <w:bCs/>
              </w:rPr>
            </w:pPr>
          </w:p>
        </w:tc>
        <w:tc>
          <w:tcPr>
            <w:tcW w:w="812" w:type="dxa"/>
            <w:vMerge/>
            <w:hideMark/>
          </w:tcPr>
          <w:p w:rsidR="00D765B6" w:rsidRPr="00D765B6" w:rsidRDefault="00D765B6" w:rsidP="00D765B6">
            <w:pPr>
              <w:jc w:val="both"/>
              <w:rPr>
                <w:b/>
                <w:bCs/>
              </w:rPr>
            </w:pPr>
          </w:p>
        </w:tc>
        <w:tc>
          <w:tcPr>
            <w:tcW w:w="1097" w:type="dxa"/>
            <w:vMerge/>
            <w:hideMark/>
          </w:tcPr>
          <w:p w:rsidR="00D765B6" w:rsidRPr="00D765B6" w:rsidRDefault="00D765B6" w:rsidP="00D765B6">
            <w:pPr>
              <w:jc w:val="both"/>
              <w:rPr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:rsidR="00D765B6" w:rsidRPr="00D765B6" w:rsidRDefault="00D765B6" w:rsidP="00D765B6">
            <w:pPr>
              <w:jc w:val="both"/>
              <w:rPr>
                <w:b/>
                <w:bCs/>
              </w:rPr>
            </w:pPr>
          </w:p>
        </w:tc>
      </w:tr>
      <w:tr w:rsidR="00D765B6" w:rsidRPr="00D765B6" w:rsidTr="00F421C5">
        <w:trPr>
          <w:trHeight w:val="3110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>Линза интраокулярная  ° эластичная гидрофобная      (</w:t>
            </w:r>
            <w:proofErr w:type="spellStart"/>
            <w:r w:rsidRPr="00CD4FF6">
              <w:rPr>
                <w:bCs/>
              </w:rPr>
              <w:t>асферическая</w:t>
            </w:r>
            <w:proofErr w:type="spellEnd"/>
            <w:r w:rsidRPr="00CD4FF6">
              <w:rPr>
                <w:bCs/>
              </w:rPr>
              <w:t xml:space="preserve">) </w:t>
            </w:r>
          </w:p>
        </w:tc>
        <w:tc>
          <w:tcPr>
            <w:tcW w:w="8826" w:type="dxa"/>
            <w:hideMark/>
          </w:tcPr>
          <w:p w:rsidR="00D765B6" w:rsidRPr="00CD4FF6" w:rsidRDefault="00D765B6" w:rsidP="00F421C5">
            <w:pPr>
              <w:rPr>
                <w:bCs/>
              </w:rPr>
            </w:pPr>
            <w:r w:rsidRPr="00CD4FF6">
              <w:rPr>
                <w:bCs/>
              </w:rPr>
              <w:t xml:space="preserve">Линзы монолитные, светло-желтого цвета. Имеют двояковыпуклую </w:t>
            </w:r>
            <w:proofErr w:type="spellStart"/>
            <w:r w:rsidRPr="00CD4FF6">
              <w:rPr>
                <w:bCs/>
              </w:rPr>
              <w:t>асферическую</w:t>
            </w:r>
            <w:proofErr w:type="spellEnd"/>
            <w:r w:rsidRPr="00CD4FF6">
              <w:rPr>
                <w:bCs/>
              </w:rPr>
              <w:t xml:space="preserve"> форму, </w:t>
            </w:r>
            <w:proofErr w:type="gramStart"/>
            <w:r w:rsidRPr="00CD4FF6">
              <w:rPr>
                <w:bCs/>
              </w:rPr>
              <w:t>гидрофобная</w:t>
            </w:r>
            <w:proofErr w:type="gramEnd"/>
            <w:r w:rsidRPr="00CD4FF6">
              <w:rPr>
                <w:bCs/>
              </w:rPr>
              <w:t xml:space="preserve"> акриловая, </w:t>
            </w:r>
            <w:proofErr w:type="spellStart"/>
            <w:r w:rsidRPr="00CD4FF6">
              <w:rPr>
                <w:bCs/>
              </w:rPr>
              <w:t>заднекамерная</w:t>
            </w:r>
            <w:proofErr w:type="spellEnd"/>
            <w:r w:rsidRPr="00CD4FF6">
              <w:rPr>
                <w:bCs/>
              </w:rPr>
              <w:t>. Светопропускание в видимой части спектра при длине волны 540нм -  не менее 90%. Вес 35 мг. Шероховатость поверхности 5 нм.</w:t>
            </w:r>
            <w:r w:rsidRPr="00CD4FF6">
              <w:rPr>
                <w:bCs/>
              </w:rPr>
              <w:br/>
              <w:t>Основные размеры линз:</w:t>
            </w:r>
            <w:r w:rsidRPr="00CD4FF6">
              <w:rPr>
                <w:bCs/>
              </w:rPr>
              <w:br/>
              <w:t>Общий диаметр: 12,0±0,05 мм</w:t>
            </w:r>
            <w:r w:rsidRPr="00CD4FF6">
              <w:rPr>
                <w:bCs/>
              </w:rPr>
              <w:br/>
              <w:t>Размер оптики: 6,0±0,05 мм</w:t>
            </w:r>
            <w:r w:rsidRPr="00CD4FF6">
              <w:rPr>
                <w:bCs/>
              </w:rPr>
              <w:br/>
              <w:t xml:space="preserve">Толщина </w:t>
            </w:r>
            <w:proofErr w:type="spellStart"/>
            <w:r w:rsidRPr="00CD4FF6">
              <w:rPr>
                <w:bCs/>
              </w:rPr>
              <w:t>гаптики</w:t>
            </w:r>
            <w:proofErr w:type="spellEnd"/>
            <w:r w:rsidRPr="00CD4FF6">
              <w:rPr>
                <w:bCs/>
              </w:rPr>
              <w:t>: 0,20±0,05</w:t>
            </w:r>
            <w:r w:rsidRPr="00CD4FF6">
              <w:rPr>
                <w:bCs/>
              </w:rPr>
              <w:br/>
              <w:t xml:space="preserve">Масса: с величиной рефракции от 05 до 40 </w:t>
            </w:r>
            <w:proofErr w:type="spellStart"/>
            <w:r w:rsidRPr="00CD4FF6">
              <w:rPr>
                <w:bCs/>
              </w:rPr>
              <w:t>Дптр</w:t>
            </w:r>
            <w:proofErr w:type="spellEnd"/>
            <w:r w:rsidRPr="00CD4FF6">
              <w:rPr>
                <w:bCs/>
              </w:rPr>
              <w:br/>
              <w:t>от 14 до 33 мг;</w:t>
            </w:r>
            <w:r w:rsidRPr="00CD4FF6">
              <w:rPr>
                <w:bCs/>
              </w:rPr>
              <w:br/>
              <w:t xml:space="preserve">Величина задней вершинной рефракции от +1 до +40 </w:t>
            </w:r>
            <w:proofErr w:type="spellStart"/>
            <w:r w:rsidRPr="00CD4FF6">
              <w:rPr>
                <w:bCs/>
              </w:rPr>
              <w:t>Дптр</w:t>
            </w:r>
            <w:proofErr w:type="spellEnd"/>
            <w:r w:rsidRPr="00CD4FF6">
              <w:rPr>
                <w:bCs/>
              </w:rPr>
              <w:t xml:space="preserve">, Шаг 1,0 </w:t>
            </w:r>
            <w:proofErr w:type="spellStart"/>
            <w:r w:rsidRPr="00CD4FF6">
              <w:rPr>
                <w:bCs/>
              </w:rPr>
              <w:t>Дптр</w:t>
            </w:r>
            <w:proofErr w:type="spellEnd"/>
            <w:r w:rsidRPr="00CD4FF6">
              <w:rPr>
                <w:bCs/>
              </w:rPr>
              <w:t xml:space="preserve">, Предельное отклонение 0,5 </w:t>
            </w:r>
            <w:proofErr w:type="spellStart"/>
            <w:r w:rsidRPr="00CD4FF6">
              <w:rPr>
                <w:bCs/>
              </w:rPr>
              <w:t>Дптр</w:t>
            </w:r>
            <w:proofErr w:type="spellEnd"/>
            <w:proofErr w:type="gramStart"/>
            <w:r w:rsidRPr="00CD4FF6">
              <w:rPr>
                <w:bCs/>
              </w:rPr>
              <w:br/>
              <w:t>В</w:t>
            </w:r>
            <w:proofErr w:type="gramEnd"/>
            <w:r w:rsidRPr="00CD4FF6">
              <w:rPr>
                <w:bCs/>
              </w:rPr>
              <w:t xml:space="preserve"> комплекте с картриджем </w:t>
            </w:r>
            <w:proofErr w:type="spellStart"/>
            <w:r w:rsidRPr="00CD4FF6">
              <w:rPr>
                <w:bCs/>
              </w:rPr>
              <w:t>Monarch</w:t>
            </w:r>
            <w:proofErr w:type="spellEnd"/>
            <w:r w:rsidRPr="00CD4FF6">
              <w:rPr>
                <w:bCs/>
              </w:rPr>
              <w:t xml:space="preserve"> III (C, D)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250</w:t>
            </w:r>
          </w:p>
        </w:tc>
        <w:tc>
          <w:tcPr>
            <w:tcW w:w="1097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25 300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6</w:t>
            </w:r>
            <w:r w:rsidR="00F421C5">
              <w:rPr>
                <w:bCs/>
              </w:rPr>
              <w:t> </w:t>
            </w:r>
            <w:r w:rsidRPr="00CD4FF6">
              <w:rPr>
                <w:bCs/>
              </w:rPr>
              <w:t>325</w:t>
            </w:r>
            <w:r w:rsidR="00F421C5">
              <w:rPr>
                <w:bCs/>
              </w:rPr>
              <w:t xml:space="preserve"> </w:t>
            </w:r>
            <w:r w:rsidRPr="00CD4FF6">
              <w:rPr>
                <w:bCs/>
              </w:rPr>
              <w:t>000</w:t>
            </w:r>
          </w:p>
        </w:tc>
      </w:tr>
      <w:tr w:rsidR="00D765B6" w:rsidRPr="00D765B6" w:rsidTr="00F421C5">
        <w:trPr>
          <w:trHeight w:val="1269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2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spellStart"/>
            <w:r w:rsidRPr="00CD4FF6">
              <w:rPr>
                <w:bCs/>
              </w:rPr>
              <w:t>Р-р</w:t>
            </w:r>
            <w:proofErr w:type="spellEnd"/>
            <w:r w:rsidRPr="00CD4FF6">
              <w:rPr>
                <w:bCs/>
              </w:rPr>
              <w:t xml:space="preserve"> офтальмологический     </w:t>
            </w:r>
            <w:proofErr w:type="spellStart"/>
            <w:r w:rsidRPr="00CD4FF6">
              <w:rPr>
                <w:bCs/>
              </w:rPr>
              <w:t>вискоэластичный</w:t>
            </w:r>
            <w:proofErr w:type="spellEnd"/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spellStart"/>
            <w:r w:rsidRPr="00CD4FF6">
              <w:rPr>
                <w:bCs/>
              </w:rPr>
              <w:t>Вискоэластичный</w:t>
            </w:r>
            <w:proofErr w:type="spellEnd"/>
            <w:r w:rsidRPr="00CD4FF6">
              <w:rPr>
                <w:bCs/>
              </w:rPr>
              <w:t xml:space="preserve"> офтальмологический стерильный </w:t>
            </w:r>
            <w:proofErr w:type="spellStart"/>
            <w:r w:rsidRPr="00CD4FF6">
              <w:rPr>
                <w:bCs/>
              </w:rPr>
              <w:t>апирогенный</w:t>
            </w:r>
            <w:proofErr w:type="spellEnd"/>
            <w:r w:rsidRPr="00CD4FF6">
              <w:rPr>
                <w:bCs/>
              </w:rPr>
              <w:t xml:space="preserve">  хирургический раствор, содержащий натрия </w:t>
            </w:r>
            <w:proofErr w:type="spellStart"/>
            <w:r w:rsidRPr="00CD4FF6">
              <w:rPr>
                <w:bCs/>
              </w:rPr>
              <w:t>хондроитин</w:t>
            </w:r>
            <w:proofErr w:type="spellEnd"/>
            <w:r w:rsidRPr="00CD4FF6">
              <w:rPr>
                <w:bCs/>
              </w:rPr>
              <w:t xml:space="preserve"> сульфат и натрия </w:t>
            </w:r>
            <w:proofErr w:type="spellStart"/>
            <w:r w:rsidRPr="00CD4FF6">
              <w:rPr>
                <w:bCs/>
              </w:rPr>
              <w:t>гиалуронат</w:t>
            </w:r>
            <w:proofErr w:type="spellEnd"/>
            <w:r w:rsidRPr="00CD4FF6">
              <w:rPr>
                <w:bCs/>
              </w:rPr>
              <w:t xml:space="preserve">, вязкость не менее 40.000-110.000 </w:t>
            </w:r>
            <w:proofErr w:type="spellStart"/>
            <w:r w:rsidRPr="00CD4FF6">
              <w:rPr>
                <w:bCs/>
              </w:rPr>
              <w:t>мПа</w:t>
            </w:r>
            <w:proofErr w:type="gramStart"/>
            <w:r w:rsidRPr="00CD4FF6">
              <w:rPr>
                <w:bCs/>
              </w:rPr>
              <w:t>.с</w:t>
            </w:r>
            <w:proofErr w:type="spellEnd"/>
            <w:proofErr w:type="gramEnd"/>
            <w:r w:rsidRPr="00CD4FF6">
              <w:rPr>
                <w:bCs/>
              </w:rPr>
              <w:t xml:space="preserve">,  </w:t>
            </w:r>
            <w:proofErr w:type="spellStart"/>
            <w:r w:rsidRPr="00CD4FF6">
              <w:rPr>
                <w:bCs/>
              </w:rPr>
              <w:t>осмоляльность</w:t>
            </w:r>
            <w:proofErr w:type="spellEnd"/>
            <w:r w:rsidRPr="00CD4FF6">
              <w:rPr>
                <w:bCs/>
              </w:rPr>
              <w:t xml:space="preserve"> 260-370мОсм/кг, используемый при проведении операции катаракты с имплантацией интраокулярных линз для введения в передний отрезок глазного яблока с целью защиты тканей в шприце 1 мл.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600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21 500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12 900 000</w:t>
            </w:r>
          </w:p>
        </w:tc>
      </w:tr>
      <w:tr w:rsidR="00D765B6" w:rsidRPr="00D765B6" w:rsidTr="00F421C5">
        <w:trPr>
          <w:trHeight w:val="2544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3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Акриловая складывающаяся однокомпонентная интраокулярная линза  </w:t>
            </w: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>линзы с отрицательной сферической аберрацией, компенсирующей положительные аберрации, свойственные среднестатистической роговице</w:t>
            </w:r>
            <w:proofErr w:type="gramStart"/>
            <w:r w:rsidRPr="00CD4FF6">
              <w:rPr>
                <w:bCs/>
              </w:rPr>
              <w:t>.</w:t>
            </w:r>
            <w:proofErr w:type="gramEnd"/>
            <w:r w:rsidRPr="00CD4FF6">
              <w:rPr>
                <w:bCs/>
              </w:rPr>
              <w:t xml:space="preserve"> </w:t>
            </w:r>
            <w:proofErr w:type="gramStart"/>
            <w:r w:rsidRPr="00CD4FF6">
              <w:rPr>
                <w:bCs/>
              </w:rPr>
              <w:t>ч</w:t>
            </w:r>
            <w:proofErr w:type="gramEnd"/>
            <w:r w:rsidRPr="00CD4FF6">
              <w:rPr>
                <w:bCs/>
              </w:rPr>
              <w:t xml:space="preserve">то обеспечивает улучшенную четкость изображения. Диаметр оптической части - 6.0 мм Общая длина с учётом опорных элементов - 13.0 мм. Дизайн оптической части - </w:t>
            </w:r>
            <w:proofErr w:type="spellStart"/>
            <w:r w:rsidRPr="00CD4FF6">
              <w:rPr>
                <w:bCs/>
              </w:rPr>
              <w:t>асферический</w:t>
            </w:r>
            <w:proofErr w:type="spellEnd"/>
            <w:r w:rsidRPr="00CD4FF6">
              <w:rPr>
                <w:bCs/>
              </w:rPr>
              <w:t xml:space="preserve">, двояковыпуклый, асимметричный Угол наклона опорных элементов к оптической части - 00 Возможная оптическая сила: +6.0 - 30.0 D с шагом в 0.5 D; +31.0 -34.0 D с шагом в 1.0 D Тонкий профиль оптики А-константа - 118.7 Однокомпонентная ИОЛ изготовлена из сополимера 2-фенилэтилакрилата и 2-фенилэтилметакрилата с хромофором </w:t>
            </w:r>
            <w:proofErr w:type="spellStart"/>
            <w:r w:rsidRPr="00CD4FF6">
              <w:rPr>
                <w:bCs/>
              </w:rPr>
              <w:t>ImprUVTM</w:t>
            </w:r>
            <w:proofErr w:type="spellEnd"/>
            <w:r w:rsidRPr="00CD4FF6">
              <w:rPr>
                <w:bCs/>
              </w:rPr>
              <w:t xml:space="preserve"> Фильтр от УФ и синего света  Форма </w:t>
            </w:r>
            <w:proofErr w:type="spellStart"/>
            <w:r w:rsidRPr="00CD4FF6">
              <w:rPr>
                <w:bCs/>
              </w:rPr>
              <w:t>гаптических</w:t>
            </w:r>
            <w:proofErr w:type="spellEnd"/>
            <w:r w:rsidRPr="00CD4FF6">
              <w:rPr>
                <w:bCs/>
              </w:rPr>
              <w:t xml:space="preserve"> элементов - </w:t>
            </w:r>
            <w:proofErr w:type="spellStart"/>
            <w:r w:rsidRPr="00CD4FF6">
              <w:rPr>
                <w:bCs/>
              </w:rPr>
              <w:t>модифициронанная</w:t>
            </w:r>
            <w:proofErr w:type="spellEnd"/>
            <w:r w:rsidRPr="00CD4FF6">
              <w:rPr>
                <w:bCs/>
              </w:rPr>
              <w:t xml:space="preserve"> Л (</w:t>
            </w:r>
            <w:proofErr w:type="spellStart"/>
            <w:r w:rsidRPr="00CD4FF6">
              <w:rPr>
                <w:bCs/>
              </w:rPr>
              <w:t>Modified</w:t>
            </w:r>
            <w:proofErr w:type="spellEnd"/>
            <w:r w:rsidRPr="00CD4FF6">
              <w:rPr>
                <w:bCs/>
              </w:rPr>
              <w:t xml:space="preserve"> L) технологии </w:t>
            </w:r>
            <w:proofErr w:type="spellStart"/>
            <w:r w:rsidRPr="00CD4FF6">
              <w:rPr>
                <w:bCs/>
              </w:rPr>
              <w:t>Slimplant</w:t>
            </w:r>
            <w:proofErr w:type="spellEnd"/>
            <w:r w:rsidRPr="00CD4FF6">
              <w:rPr>
                <w:bCs/>
              </w:rPr>
              <w:t xml:space="preserve"> и </w:t>
            </w:r>
            <w:proofErr w:type="spellStart"/>
            <w:r w:rsidRPr="00CD4FF6">
              <w:rPr>
                <w:bCs/>
              </w:rPr>
              <w:t>StableForce</w:t>
            </w:r>
            <w:proofErr w:type="spellEnd"/>
            <w:r w:rsidRPr="00CD4FF6">
              <w:rPr>
                <w:bCs/>
              </w:rPr>
              <w:t> Стерилизация – газовая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20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56 500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1 130 000</w:t>
            </w:r>
          </w:p>
        </w:tc>
      </w:tr>
      <w:tr w:rsidR="00D765B6" w:rsidRPr="00D765B6" w:rsidTr="00F421C5">
        <w:trPr>
          <w:trHeight w:val="2119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lastRenderedPageBreak/>
              <w:t>4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Акриловая складывающаяся однокомпонентная интраокулярная линза  </w:t>
            </w: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Однокомпонентная акриловая гибкая моноблочная </w:t>
            </w:r>
            <w:proofErr w:type="spellStart"/>
            <w:r w:rsidRPr="00CD4FF6">
              <w:rPr>
                <w:bCs/>
              </w:rPr>
              <w:t>заднекамерная</w:t>
            </w:r>
            <w:proofErr w:type="spellEnd"/>
            <w:r w:rsidRPr="00CD4FF6">
              <w:rPr>
                <w:bCs/>
              </w:rPr>
              <w:t xml:space="preserve"> интраокулярная линза,  поглощающая  УФ излучение. Состоит  из основной части – оптики, и вспомогательной – </w:t>
            </w:r>
            <w:proofErr w:type="spellStart"/>
            <w:r w:rsidRPr="00CD4FF6">
              <w:rPr>
                <w:bCs/>
              </w:rPr>
              <w:t>гаптики</w:t>
            </w:r>
            <w:proofErr w:type="spellEnd"/>
            <w:r w:rsidRPr="00CD4FF6">
              <w:rPr>
                <w:bCs/>
              </w:rPr>
              <w:t xml:space="preserve">. Оптическая часть изготовлена из мягкого гидрофобного акрилового материала (сополимера 2-фенилэтил акрилата и 2-фенилэтил </w:t>
            </w:r>
            <w:proofErr w:type="spellStart"/>
            <w:r w:rsidRPr="00CD4FF6">
              <w:rPr>
                <w:bCs/>
              </w:rPr>
              <w:t>метилакрилата</w:t>
            </w:r>
            <w:proofErr w:type="spellEnd"/>
            <w:r w:rsidRPr="00CD4FF6">
              <w:rPr>
                <w:bCs/>
              </w:rPr>
              <w:t xml:space="preserve">) с высоким показателем преломления индексом (1.55). Благодаря свойствам этого материала  через малый разрез    линзу можно сложить перед введением. После имплантации в </w:t>
            </w:r>
            <w:proofErr w:type="spellStart"/>
            <w:r w:rsidRPr="00CD4FF6">
              <w:rPr>
                <w:bCs/>
              </w:rPr>
              <w:t>капсулярный</w:t>
            </w:r>
            <w:proofErr w:type="spellEnd"/>
            <w:r w:rsidRPr="00CD4FF6">
              <w:rPr>
                <w:bCs/>
              </w:rPr>
              <w:t xml:space="preserve"> мешок хрусталика интраокулярная линза раскрывается до полного </w:t>
            </w:r>
            <w:proofErr w:type="spellStart"/>
            <w:r w:rsidRPr="00CD4FF6">
              <w:rPr>
                <w:bCs/>
              </w:rPr>
              <w:t>размера</w:t>
            </w:r>
            <w:proofErr w:type="gramStart"/>
            <w:r w:rsidRPr="00CD4FF6">
              <w:rPr>
                <w:bCs/>
              </w:rPr>
              <w:t>.О</w:t>
            </w:r>
            <w:proofErr w:type="gramEnd"/>
            <w:r w:rsidRPr="00CD4FF6">
              <w:rPr>
                <w:bCs/>
              </w:rPr>
              <w:t>птический</w:t>
            </w:r>
            <w:proofErr w:type="spellEnd"/>
            <w:r w:rsidRPr="00CD4FF6">
              <w:rPr>
                <w:bCs/>
              </w:rPr>
              <w:t xml:space="preserve"> размер – 6 мм;  Диаметр </w:t>
            </w:r>
            <w:proofErr w:type="spellStart"/>
            <w:r w:rsidRPr="00CD4FF6">
              <w:rPr>
                <w:bCs/>
              </w:rPr>
              <w:t>гаптики</w:t>
            </w:r>
            <w:proofErr w:type="spellEnd"/>
            <w:r w:rsidR="00F421C5">
              <w:rPr>
                <w:bCs/>
              </w:rPr>
              <w:t xml:space="preserve"> –13,0 мм;  </w:t>
            </w:r>
            <w:proofErr w:type="spellStart"/>
            <w:r w:rsidRPr="00CD4FF6">
              <w:rPr>
                <w:bCs/>
              </w:rPr>
              <w:t>Ангуляция</w:t>
            </w:r>
            <w:proofErr w:type="spellEnd"/>
            <w:r w:rsidRPr="00CD4FF6">
              <w:rPr>
                <w:bCs/>
              </w:rPr>
              <w:t xml:space="preserve"> 00   А константа – 118,4.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350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20 000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 xml:space="preserve">7 000 </w:t>
            </w:r>
            <w:proofErr w:type="spellStart"/>
            <w:r w:rsidRPr="00CD4FF6">
              <w:rPr>
                <w:bCs/>
              </w:rPr>
              <w:t>000</w:t>
            </w:r>
            <w:proofErr w:type="spellEnd"/>
          </w:p>
        </w:tc>
      </w:tr>
      <w:tr w:rsidR="00D765B6" w:rsidRPr="00D765B6" w:rsidTr="00F421C5">
        <w:trPr>
          <w:trHeight w:val="2815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5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Нож </w:t>
            </w:r>
            <w:proofErr w:type="spellStart"/>
            <w:r w:rsidRPr="00CD4FF6">
              <w:rPr>
                <w:bCs/>
              </w:rPr>
              <w:t>V-Lance</w:t>
            </w:r>
            <w:proofErr w:type="spellEnd"/>
            <w:r w:rsidRPr="00CD4FF6">
              <w:rPr>
                <w:bCs/>
              </w:rPr>
              <w:t xml:space="preserve">   20 G № 6 (1.3mm) однократного применения, стерильный,  для </w:t>
            </w:r>
            <w:proofErr w:type="spellStart"/>
            <w:r w:rsidRPr="00CD4FF6">
              <w:rPr>
                <w:bCs/>
              </w:rPr>
              <w:t>парацентеза</w:t>
            </w:r>
            <w:proofErr w:type="spellEnd"/>
            <w:r w:rsidRPr="00CD4FF6">
              <w:rPr>
                <w:bCs/>
              </w:rPr>
              <w:t xml:space="preserve">   </w:t>
            </w:r>
          </w:p>
        </w:tc>
        <w:tc>
          <w:tcPr>
            <w:tcW w:w="8826" w:type="dxa"/>
            <w:noWrap/>
            <w:hideMark/>
          </w:tcPr>
          <w:p w:rsidR="00D765B6" w:rsidRPr="00CD4FF6" w:rsidRDefault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Офтальмологические ножи одноразового применения  состоят из двух частей - режущего лезвия и рукоятки. Лезвие  изготовлено из нержавеющей стали (качества 420) (SS). Рукоятки изготавливают из поликарбоната или из ABS. Все ножи предназначены только для одноразового применения, стерильно упакованы в блистерную упаковку. Они позволяют производить водонепроницаемые, самозакрывающиеся разрезы для введения через них </w:t>
            </w:r>
            <w:proofErr w:type="spellStart"/>
            <w:r w:rsidRPr="00CD4FF6">
              <w:rPr>
                <w:bCs/>
              </w:rPr>
              <w:t>инфузионных</w:t>
            </w:r>
            <w:proofErr w:type="spellEnd"/>
            <w:r w:rsidRPr="00CD4FF6">
              <w:rPr>
                <w:bCs/>
              </w:rPr>
              <w:t xml:space="preserve"> наконечников, ножей для </w:t>
            </w:r>
            <w:proofErr w:type="spellStart"/>
            <w:r w:rsidRPr="00CD4FF6">
              <w:rPr>
                <w:bCs/>
              </w:rPr>
              <w:t>витреального</w:t>
            </w:r>
            <w:proofErr w:type="spellEnd"/>
            <w:r w:rsidRPr="00CD4FF6">
              <w:rPr>
                <w:bCs/>
              </w:rPr>
              <w:t xml:space="preserve"> тела и других инструментов, используемых при витреоретинальной хирургии. Также используется при хирургии катаракты для выполнения </w:t>
            </w:r>
            <w:proofErr w:type="spellStart"/>
            <w:r w:rsidRPr="00CD4FF6">
              <w:rPr>
                <w:bCs/>
              </w:rPr>
              <w:t>парацентезов</w:t>
            </w:r>
            <w:proofErr w:type="spellEnd"/>
            <w:r w:rsidRPr="00CD4FF6">
              <w:rPr>
                <w:bCs/>
              </w:rPr>
              <w:t xml:space="preserve"> или разрезов типа </w:t>
            </w:r>
            <w:proofErr w:type="spellStart"/>
            <w:r w:rsidRPr="00CD4FF6">
              <w:rPr>
                <w:bCs/>
              </w:rPr>
              <w:t>side</w:t>
            </w:r>
            <w:proofErr w:type="spellEnd"/>
            <w:r w:rsidRPr="00CD4FF6">
              <w:rPr>
                <w:bCs/>
              </w:rPr>
              <w:t xml:space="preserve"> </w:t>
            </w:r>
            <w:proofErr w:type="spellStart"/>
            <w:r w:rsidRPr="00CD4FF6">
              <w:rPr>
                <w:bCs/>
              </w:rPr>
              <w:t>port</w:t>
            </w:r>
            <w:proofErr w:type="spellEnd"/>
            <w:r w:rsidRPr="00CD4FF6">
              <w:rPr>
                <w:bCs/>
              </w:rPr>
              <w:t xml:space="preserve"> при использовании хирургом </w:t>
            </w:r>
            <w:proofErr w:type="spellStart"/>
            <w:r w:rsidRPr="00CD4FF6">
              <w:rPr>
                <w:bCs/>
              </w:rPr>
              <w:t>би-мануальной</w:t>
            </w:r>
            <w:proofErr w:type="spellEnd"/>
            <w:r w:rsidRPr="00CD4FF6">
              <w:rPr>
                <w:bCs/>
              </w:rPr>
              <w:t xml:space="preserve"> </w:t>
            </w:r>
            <w:proofErr w:type="spellStart"/>
            <w:r w:rsidRPr="00CD4FF6">
              <w:rPr>
                <w:bCs/>
              </w:rPr>
              <w:t>фэйко</w:t>
            </w:r>
            <w:proofErr w:type="spellEnd"/>
            <w:r w:rsidRPr="00CD4FF6">
              <w:rPr>
                <w:bCs/>
              </w:rPr>
              <w:t xml:space="preserve"> техники. Режущие поверхности образуют угол. Ширина лезвия в самой широкой части может быть 1.3мм, 1.5мм или 0.75мм. Не являются оптическим устройством.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900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4 200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3 780 000</w:t>
            </w:r>
          </w:p>
        </w:tc>
      </w:tr>
      <w:tr w:rsidR="00D765B6" w:rsidRPr="00D765B6" w:rsidTr="00F421C5">
        <w:trPr>
          <w:trHeight w:val="1835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6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Нож </w:t>
            </w:r>
            <w:proofErr w:type="spellStart"/>
            <w:r w:rsidRPr="00CD4FF6">
              <w:rPr>
                <w:bCs/>
              </w:rPr>
              <w:t>Slit</w:t>
            </w:r>
            <w:proofErr w:type="spellEnd"/>
            <w:r w:rsidRPr="00CD4FF6">
              <w:rPr>
                <w:bCs/>
              </w:rPr>
              <w:t xml:space="preserve"> 2.5 мм № 6 однократного применения, стерильный.     </w:t>
            </w: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>Офтальмологические ножи состоят из двух частей – режущего лезвия и рукоятки. Лезвие изготовлено из нержавеющей стали (качества 420) (SS). Рукоятки изготавливают из поликарбоната или из ABS. Ножи офтальмологические, стерильные, одноразового применения предназначены для хирургов-офтальмологов для выполнения разрезов, туннелей, карманов в процессе проведения офтальмологических хирургических процедур. Ножи предназначены для выполнения разрезов определенной ширины, с шириной лезвия не более 2,5 мм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900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4 200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3 780 000</w:t>
            </w:r>
          </w:p>
        </w:tc>
      </w:tr>
      <w:tr w:rsidR="00D765B6" w:rsidRPr="00D765B6" w:rsidTr="00F421C5">
        <w:trPr>
          <w:trHeight w:val="1974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7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>Нож офтальмологический</w:t>
            </w:r>
            <w:proofErr w:type="gramStart"/>
            <w:r w:rsidRPr="00CD4FF6">
              <w:rPr>
                <w:bCs/>
              </w:rPr>
              <w:t xml:space="preserve"> ,</w:t>
            </w:r>
            <w:proofErr w:type="gramEnd"/>
            <w:r w:rsidRPr="00CD4FF6">
              <w:rPr>
                <w:bCs/>
              </w:rPr>
              <w:t xml:space="preserve">стерильный однократного применения </w:t>
            </w:r>
            <w:proofErr w:type="spellStart"/>
            <w:r w:rsidRPr="00CD4FF6">
              <w:rPr>
                <w:bCs/>
              </w:rPr>
              <w:t>Oftalmic</w:t>
            </w:r>
            <w:proofErr w:type="spellEnd"/>
            <w:r w:rsidRPr="00CD4FF6">
              <w:rPr>
                <w:bCs/>
              </w:rPr>
              <w:t xml:space="preserve"> 45 градус</w:t>
            </w: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Офтальмологические ножи одноразового применения  состоят из двух частей – режущего лезвия и рукоятки. Лезвие всегда изготовлено из нержавеющей стали (качества 420) (SS). Рукоятки изготавливают из поликарбоната или из ABS. Ножи офтальмологические, стерильные, одноразового применения предназначены для хирургов-офтальмологов для выполнения склеральных, </w:t>
            </w:r>
            <w:proofErr w:type="spellStart"/>
            <w:r w:rsidRPr="00CD4FF6">
              <w:rPr>
                <w:bCs/>
              </w:rPr>
              <w:t>лимбальных</w:t>
            </w:r>
            <w:proofErr w:type="spellEnd"/>
            <w:r w:rsidRPr="00CD4FF6">
              <w:rPr>
                <w:bCs/>
              </w:rPr>
              <w:t xml:space="preserve"> разрезов, </w:t>
            </w:r>
            <w:proofErr w:type="spellStart"/>
            <w:r w:rsidRPr="00CD4FF6">
              <w:rPr>
                <w:bCs/>
              </w:rPr>
              <w:t>парацентезов</w:t>
            </w:r>
            <w:proofErr w:type="spellEnd"/>
            <w:r w:rsidRPr="00CD4FF6">
              <w:rPr>
                <w:bCs/>
              </w:rPr>
              <w:t>, а также для широкого спектра других  хирургических манипуляций, применяемых в офтальмо хирургических процедурах. Ножи офтальмологические чрезвычайно острые с односторонним режущим краем. Заточка лезвия выполнена под углом 45</w:t>
            </w:r>
            <w:r w:rsidRPr="00CD4FF6">
              <w:rPr>
                <w:bCs/>
                <w:vertAlign w:val="superscript"/>
              </w:rPr>
              <w:t>0</w:t>
            </w:r>
            <w:r w:rsidRPr="00CD4FF6">
              <w:rPr>
                <w:bCs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180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4 200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756 000</w:t>
            </w:r>
          </w:p>
        </w:tc>
      </w:tr>
      <w:tr w:rsidR="00D765B6" w:rsidRPr="00D765B6" w:rsidTr="00F421C5">
        <w:trPr>
          <w:trHeight w:val="2544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lastRenderedPageBreak/>
              <w:t>8</w:t>
            </w:r>
          </w:p>
        </w:tc>
        <w:tc>
          <w:tcPr>
            <w:tcW w:w="2372" w:type="dxa"/>
            <w:hideMark/>
          </w:tcPr>
          <w:p w:rsidR="00D765B6" w:rsidRPr="001019E0" w:rsidRDefault="00D765B6">
            <w:pPr>
              <w:jc w:val="both"/>
              <w:rPr>
                <w:bCs/>
              </w:rPr>
            </w:pPr>
            <w:proofErr w:type="spellStart"/>
            <w:r w:rsidRPr="00CD4FF6">
              <w:rPr>
                <w:bCs/>
              </w:rPr>
              <w:t>Мамографическая</w:t>
            </w:r>
            <w:proofErr w:type="spellEnd"/>
            <w:r w:rsidRPr="00CD4FF6">
              <w:rPr>
                <w:bCs/>
              </w:rPr>
              <w:t xml:space="preserve"> Пленка (25,4*30,5) № 100</w:t>
            </w:r>
            <w:r w:rsidR="001019E0">
              <w:rPr>
                <w:bCs/>
              </w:rPr>
              <w:t xml:space="preserve">. На аппарат сухой проявки </w:t>
            </w:r>
            <w:r w:rsidR="001019E0">
              <w:rPr>
                <w:bCs/>
                <w:lang w:val="en-US"/>
              </w:rPr>
              <w:t>Agfa</w:t>
            </w:r>
            <w:r w:rsidR="001019E0">
              <w:rPr>
                <w:bCs/>
              </w:rPr>
              <w:t>.</w:t>
            </w: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Медицинская термографическая пленка для маммографии Пленка предназначена для получения твердых копий рентгеновских </w:t>
            </w:r>
            <w:proofErr w:type="spellStart"/>
            <w:r w:rsidRPr="00CD4FF6">
              <w:rPr>
                <w:bCs/>
              </w:rPr>
              <w:t>маммографических</w:t>
            </w:r>
            <w:proofErr w:type="spellEnd"/>
            <w:r w:rsidRPr="00CD4FF6">
              <w:rPr>
                <w:bCs/>
              </w:rPr>
              <w:t xml:space="preserve"> изображений, полученных с помощью цифровой обработки. Использование для медицинских принтеров черно-белого изображения. Пленка  на 168-микронной PET подложке. D </w:t>
            </w:r>
            <w:proofErr w:type="spellStart"/>
            <w:r w:rsidRPr="00CD4FF6">
              <w:rPr>
                <w:bCs/>
              </w:rPr>
              <w:t>min</w:t>
            </w:r>
            <w:proofErr w:type="spellEnd"/>
            <w:r w:rsidRPr="00CD4FF6">
              <w:rPr>
                <w:bCs/>
              </w:rPr>
              <w:t xml:space="preserve">, (оптическая плотность) &lt;=0,24; D </w:t>
            </w:r>
            <w:proofErr w:type="spellStart"/>
            <w:r w:rsidRPr="00CD4FF6">
              <w:rPr>
                <w:bCs/>
              </w:rPr>
              <w:t>max</w:t>
            </w:r>
            <w:proofErr w:type="spellEnd"/>
            <w:r w:rsidRPr="00CD4FF6">
              <w:rPr>
                <w:bCs/>
              </w:rPr>
              <w:t>, (внутренняя плотность материала) допустимый предел &gt;3,70 D. Содержание серебра 1,21 г/м</w:t>
            </w:r>
            <w:proofErr w:type="gramStart"/>
            <w:r w:rsidRPr="00CD4FF6">
              <w:rPr>
                <w:bCs/>
              </w:rPr>
              <w:t>2</w:t>
            </w:r>
            <w:proofErr w:type="gramEnd"/>
            <w:r w:rsidRPr="00CD4FF6">
              <w:rPr>
                <w:bCs/>
              </w:rPr>
              <w:t>. Хранение пленки обеспечивается при следующих условиях: средняя температура между 18 градусов</w:t>
            </w:r>
            <w:proofErr w:type="gramStart"/>
            <w:r w:rsidRPr="00CD4FF6">
              <w:rPr>
                <w:bCs/>
              </w:rPr>
              <w:t xml:space="preserve"> С</w:t>
            </w:r>
            <w:proofErr w:type="gramEnd"/>
            <w:r w:rsidRPr="00CD4FF6">
              <w:rPr>
                <w:bCs/>
              </w:rPr>
              <w:t xml:space="preserve"> и 21 градусов С (максимальная температура 25 градусов С, минимальная температура 4 градусов С). Максимальная температура хранения 28 градусов С. Уровень влажности должен быть в пределах 30% и 60% относительной влажности. Срок хранения 18 месяцев. Достижимость 20 лет.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200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43 25</w:t>
            </w:r>
            <w:r w:rsidR="00F421C5">
              <w:rPr>
                <w:bCs/>
              </w:rPr>
              <w:t>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8 650 000</w:t>
            </w:r>
          </w:p>
        </w:tc>
      </w:tr>
      <w:tr w:rsidR="00D765B6" w:rsidRPr="00D765B6" w:rsidTr="00F421C5">
        <w:trPr>
          <w:trHeight w:val="836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9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Трубка для инжектора </w:t>
            </w: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>Расходные материалы для инжекторов. Трубка насоса  используется в течени</w:t>
            </w:r>
            <w:proofErr w:type="gramStart"/>
            <w:r w:rsidRPr="00CD4FF6">
              <w:rPr>
                <w:bCs/>
              </w:rPr>
              <w:t>и</w:t>
            </w:r>
            <w:proofErr w:type="gramEnd"/>
            <w:r w:rsidRPr="00CD4FF6">
              <w:rPr>
                <w:bCs/>
              </w:rPr>
              <w:t xml:space="preserve"> 24 часа для любого количества инъекций. Доказанная гигиеническая безопасность Экономичное использование расходного материала Сокращение места для склада расходного материала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370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24 000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8 880 000</w:t>
            </w:r>
          </w:p>
        </w:tc>
      </w:tr>
      <w:tr w:rsidR="00D765B6" w:rsidRPr="00D765B6" w:rsidTr="00F421C5">
        <w:trPr>
          <w:trHeight w:val="990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10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Система для пациента </w:t>
            </w: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>Расходные материалы для инжекторов. Трубка пациента для любого количества инъекций, вводимых одному пациенту, смена и выброс после каждого пациента. Доказанная гигиеническая безопасность Экономичное использование расходного материала Сокращение места для склада расходного материала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3000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4 000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 xml:space="preserve">12 000 </w:t>
            </w:r>
            <w:proofErr w:type="spellStart"/>
            <w:r w:rsidRPr="00CD4FF6">
              <w:rPr>
                <w:bCs/>
              </w:rPr>
              <w:t>000</w:t>
            </w:r>
            <w:proofErr w:type="spellEnd"/>
          </w:p>
        </w:tc>
      </w:tr>
      <w:tr w:rsidR="00D765B6" w:rsidRPr="00D765B6" w:rsidTr="00F421C5">
        <w:trPr>
          <w:trHeight w:val="4103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11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spellStart"/>
            <w:r w:rsidRPr="00CD4FF6">
              <w:rPr>
                <w:bCs/>
              </w:rPr>
              <w:t>Эндопротезы</w:t>
            </w:r>
            <w:proofErr w:type="spellEnd"/>
            <w:r w:rsidRPr="00CD4FF6">
              <w:rPr>
                <w:bCs/>
              </w:rPr>
              <w:t xml:space="preserve"> коленного  сустава</w:t>
            </w: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gramStart"/>
            <w:r w:rsidRPr="00CD4FF6">
              <w:rPr>
                <w:bCs/>
              </w:rPr>
              <w:t>Тотальный</w:t>
            </w:r>
            <w:proofErr w:type="gramEnd"/>
            <w:r w:rsidRPr="00CD4FF6">
              <w:rPr>
                <w:bCs/>
              </w:rPr>
              <w:t xml:space="preserve"> </w:t>
            </w:r>
            <w:proofErr w:type="spellStart"/>
            <w:r w:rsidRPr="00CD4FF6">
              <w:rPr>
                <w:bCs/>
              </w:rPr>
              <w:t>эндопротез</w:t>
            </w:r>
            <w:proofErr w:type="spellEnd"/>
            <w:r w:rsidRPr="00CD4FF6">
              <w:rPr>
                <w:bCs/>
              </w:rPr>
              <w:t xml:space="preserve"> коленного сустава с возможностью сохранения или замещения ЗКС, в комплекте:1. Бедренный компонент </w:t>
            </w:r>
            <w:proofErr w:type="spellStart"/>
            <w:r w:rsidRPr="00CD4FF6">
              <w:rPr>
                <w:bCs/>
              </w:rPr>
              <w:t>эндопротеза</w:t>
            </w:r>
            <w:proofErr w:type="spellEnd"/>
            <w:r w:rsidRPr="00CD4FF6">
              <w:rPr>
                <w:bCs/>
              </w:rPr>
              <w:t xml:space="preserve"> левый и правый. Бедренный компонент с сохранением или </w:t>
            </w:r>
            <w:proofErr w:type="spellStart"/>
            <w:r w:rsidRPr="00CD4FF6">
              <w:rPr>
                <w:bCs/>
              </w:rPr>
              <w:t>замещеием</w:t>
            </w:r>
            <w:proofErr w:type="spellEnd"/>
            <w:r w:rsidRPr="00CD4FF6">
              <w:rPr>
                <w:bCs/>
              </w:rPr>
              <w:t xml:space="preserve"> задней крестообразной связки CR/RP изготовлен из </w:t>
            </w:r>
            <w:proofErr w:type="spellStart"/>
            <w:r w:rsidRPr="00CD4FF6">
              <w:rPr>
                <w:bCs/>
              </w:rPr>
              <w:t>кобальт-хромового</w:t>
            </w:r>
            <w:proofErr w:type="spellEnd"/>
            <w:r w:rsidRPr="00CD4FF6">
              <w:rPr>
                <w:bCs/>
              </w:rPr>
              <w:t xml:space="preserve"> </w:t>
            </w:r>
            <w:proofErr w:type="gramStart"/>
            <w:r w:rsidRPr="00CD4FF6">
              <w:rPr>
                <w:bCs/>
              </w:rPr>
              <w:t>кованного</w:t>
            </w:r>
            <w:proofErr w:type="gramEnd"/>
            <w:r w:rsidRPr="00CD4FF6">
              <w:rPr>
                <w:bCs/>
              </w:rPr>
              <w:t xml:space="preserve"> сплава CoCr29Mo. Увеличение размеров во фронтальной плоскости с 56 мм (для 1-размера) до 82 мм (для 8-го размера) с шагом 3, 3,5, 4, 4,5, 5 и 6 мм. Увеличение размеров в </w:t>
            </w:r>
            <w:proofErr w:type="spellStart"/>
            <w:r w:rsidRPr="00CD4FF6">
              <w:rPr>
                <w:bCs/>
              </w:rPr>
              <w:t>сагитальной</w:t>
            </w:r>
            <w:proofErr w:type="spellEnd"/>
            <w:r w:rsidRPr="00CD4FF6">
              <w:rPr>
                <w:bCs/>
              </w:rPr>
              <w:t xml:space="preserve"> поверхности от 50 мм (для 1 размера) до 80,5 мм (для 8-го размера) с шагом 3, 3,5, 4, 4,5, 5, 5,5 мм.2. </w:t>
            </w:r>
            <w:proofErr w:type="spellStart"/>
            <w:proofErr w:type="gramStart"/>
            <w:r w:rsidRPr="00CD4FF6">
              <w:rPr>
                <w:bCs/>
              </w:rPr>
              <w:t>Тибиальный</w:t>
            </w:r>
            <w:proofErr w:type="spellEnd"/>
            <w:r w:rsidRPr="00CD4FF6">
              <w:rPr>
                <w:bCs/>
              </w:rPr>
              <w:t xml:space="preserve"> компонент </w:t>
            </w:r>
            <w:proofErr w:type="spellStart"/>
            <w:r w:rsidRPr="00CD4FF6">
              <w:rPr>
                <w:bCs/>
              </w:rPr>
              <w:t>эндопротеза</w:t>
            </w:r>
            <w:proofErr w:type="spellEnd"/>
            <w:r w:rsidRPr="00CD4FF6">
              <w:rPr>
                <w:bCs/>
              </w:rPr>
              <w:t xml:space="preserve"> универсальный (для левой и для правой) CR/PS, с  задней стабилизаций, с возможностью замещения или сохранения ЗКС,  цементный.</w:t>
            </w:r>
            <w:proofErr w:type="gramEnd"/>
            <w:r w:rsidRPr="00CD4FF6">
              <w:rPr>
                <w:bCs/>
              </w:rPr>
              <w:t xml:space="preserve"> Материал </w:t>
            </w:r>
            <w:proofErr w:type="spellStart"/>
            <w:proofErr w:type="gramStart"/>
            <w:r w:rsidRPr="00CD4FF6">
              <w:rPr>
                <w:bCs/>
              </w:rPr>
              <w:t>кобальт-хромовый</w:t>
            </w:r>
            <w:proofErr w:type="spellEnd"/>
            <w:proofErr w:type="gramEnd"/>
            <w:r w:rsidRPr="00CD4FF6">
              <w:rPr>
                <w:bCs/>
              </w:rPr>
              <w:t xml:space="preserve"> кованный сплава CoCr29Mo. Толщина платформы 3/6 мм (с учетом бортика)  Шесть основных размеров (Т</w:t>
            </w:r>
            <w:proofErr w:type="gramStart"/>
            <w:r w:rsidRPr="00CD4FF6">
              <w:rPr>
                <w:bCs/>
              </w:rPr>
              <w:t>0</w:t>
            </w:r>
            <w:proofErr w:type="gramEnd"/>
            <w:r w:rsidRPr="00CD4FF6">
              <w:rPr>
                <w:bCs/>
              </w:rPr>
              <w:t xml:space="preserve"> – Т5), пять средних размеров (Т1+ - Т4+) ..3. Вкладыши (</w:t>
            </w:r>
            <w:proofErr w:type="spellStart"/>
            <w:r w:rsidRPr="00CD4FF6">
              <w:rPr>
                <w:bCs/>
              </w:rPr>
              <w:t>тибиальная</w:t>
            </w:r>
            <w:proofErr w:type="spellEnd"/>
            <w:r w:rsidRPr="00CD4FF6">
              <w:rPr>
                <w:bCs/>
              </w:rPr>
              <w:t xml:space="preserve"> PE-прокладка) изготовлены из </w:t>
            </w:r>
            <w:proofErr w:type="spellStart"/>
            <w:r w:rsidRPr="00CD4FF6">
              <w:rPr>
                <w:bCs/>
              </w:rPr>
              <w:t>ультравысокомолекулярного</w:t>
            </w:r>
            <w:proofErr w:type="spellEnd"/>
            <w:r w:rsidRPr="00CD4FF6">
              <w:rPr>
                <w:bCs/>
              </w:rPr>
              <w:t xml:space="preserve"> полиэтилена низкого давления. Вкладыши с ярко выраженным углублением  DD  позволяют иметь дополнительную стабильность во всех направлениях. </w:t>
            </w:r>
            <w:proofErr w:type="spellStart"/>
            <w:r w:rsidRPr="00CD4FF6">
              <w:rPr>
                <w:bCs/>
              </w:rPr>
              <w:t>Ультраконгруэнтные</w:t>
            </w:r>
            <w:proofErr w:type="spellEnd"/>
            <w:r w:rsidRPr="00CD4FF6">
              <w:rPr>
                <w:bCs/>
              </w:rPr>
              <w:t xml:space="preserve"> вкладыши UC имеют четко выраженную поверхность позволяющую иметь дополнительную ротацию до 7,5 мм. Размеры T1/T1+, T2/T2+, T3/T3+, T4/T4+, T5 от 10 до 20 мм, с шагом 2 мм.  </w:t>
            </w:r>
            <w:r w:rsidRPr="00CD4FF6">
              <w:rPr>
                <w:bCs/>
              </w:rPr>
              <w:br w:type="page"/>
            </w:r>
            <w:r w:rsidRPr="00CD4FF6">
              <w:rPr>
                <w:bCs/>
              </w:rPr>
              <w:br w:type="page"/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30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461 590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F421C5" w:rsidP="00F421C5">
            <w:pPr>
              <w:jc w:val="center"/>
              <w:rPr>
                <w:bCs/>
              </w:rPr>
            </w:pPr>
            <w:r>
              <w:rPr>
                <w:bCs/>
              </w:rPr>
              <w:t>13 847 700</w:t>
            </w:r>
          </w:p>
        </w:tc>
      </w:tr>
      <w:tr w:rsidR="00D765B6" w:rsidRPr="00D765B6" w:rsidTr="00F421C5">
        <w:trPr>
          <w:trHeight w:val="7222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lastRenderedPageBreak/>
              <w:t>12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spellStart"/>
            <w:r w:rsidRPr="00CD4FF6">
              <w:rPr>
                <w:bCs/>
              </w:rPr>
              <w:t>Эндопротезы</w:t>
            </w:r>
            <w:proofErr w:type="spellEnd"/>
            <w:r w:rsidRPr="00CD4FF6">
              <w:rPr>
                <w:bCs/>
              </w:rPr>
              <w:t xml:space="preserve"> тазобедренного сустава</w:t>
            </w: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gramStart"/>
            <w:r w:rsidRPr="00CD4FF6">
              <w:rPr>
                <w:bCs/>
              </w:rPr>
              <w:t>Тотальный</w:t>
            </w:r>
            <w:proofErr w:type="gramEnd"/>
            <w:r w:rsidRPr="00CD4FF6">
              <w:rPr>
                <w:bCs/>
              </w:rPr>
              <w:t xml:space="preserve"> </w:t>
            </w:r>
            <w:proofErr w:type="spellStart"/>
            <w:r w:rsidRPr="00CD4FF6">
              <w:rPr>
                <w:bCs/>
              </w:rPr>
              <w:t>эндопротез</w:t>
            </w:r>
            <w:proofErr w:type="spellEnd"/>
            <w:r w:rsidRPr="00CD4FF6">
              <w:rPr>
                <w:bCs/>
              </w:rPr>
              <w:t xml:space="preserve"> тазобедренного сустава </w:t>
            </w:r>
            <w:proofErr w:type="spellStart"/>
            <w:r w:rsidRPr="00CD4FF6">
              <w:rPr>
                <w:bCs/>
              </w:rPr>
              <w:t>бесцементной</w:t>
            </w:r>
            <w:proofErr w:type="spellEnd"/>
            <w:r w:rsidRPr="00CD4FF6">
              <w:rPr>
                <w:bCs/>
              </w:rPr>
              <w:t xml:space="preserve"> фиксации в комплекте: "1. Ножка клиновидной формы </w:t>
            </w:r>
            <w:proofErr w:type="spellStart"/>
            <w:r w:rsidRPr="00CD4FF6">
              <w:rPr>
                <w:bCs/>
              </w:rPr>
              <w:t>c</w:t>
            </w:r>
            <w:proofErr w:type="spellEnd"/>
            <w:r w:rsidRPr="00CD4FF6">
              <w:rPr>
                <w:bCs/>
              </w:rPr>
              <w:t xml:space="preserve"> прогрессивно увеличивающейся </w:t>
            </w:r>
            <w:proofErr w:type="spellStart"/>
            <w:r w:rsidRPr="00CD4FF6">
              <w:rPr>
                <w:bCs/>
              </w:rPr>
              <w:t>латерализацией</w:t>
            </w:r>
            <w:proofErr w:type="spellEnd"/>
            <w:r w:rsidRPr="00CD4FF6">
              <w:rPr>
                <w:bCs/>
              </w:rPr>
              <w:t xml:space="preserve"> в зависимости от увеличения. Ножка имеет микропористое покрытие с размером пор 50–200 микрон. Доступные размеры ножек (10, 11, 12, 13, 14, 15, 16, 17, 18, 19, 20, 21мм) Размер проксимального микропористого покрытия 75мм. Конус для посадки головки 12/14 </w:t>
            </w:r>
            <w:proofErr w:type="spellStart"/>
            <w:r w:rsidRPr="00CD4FF6">
              <w:rPr>
                <w:bCs/>
              </w:rPr>
              <w:t>Сагитальная</w:t>
            </w:r>
            <w:proofErr w:type="spellEnd"/>
            <w:r w:rsidRPr="00CD4FF6">
              <w:rPr>
                <w:bCs/>
              </w:rPr>
              <w:t xml:space="preserve"> толщина ножки (6,0; 6,5; 7,0; 7,5; 8,0; 8,5мм) Дистальная толщина ножки (7,0; 8,0; 9,0; 10,0; </w:t>
            </w:r>
            <w:proofErr w:type="gramStart"/>
            <w:r w:rsidRPr="00CD4FF6">
              <w:rPr>
                <w:bCs/>
              </w:rPr>
              <w:t xml:space="preserve">11,5мм)  Проксимальная стабильность дополнительно обеспечивается билатеральными фланцами Имплантация не требует применения разверток для  обработки дистального канала, только </w:t>
            </w:r>
            <w:proofErr w:type="spellStart"/>
            <w:r w:rsidRPr="00CD4FF6">
              <w:rPr>
                <w:bCs/>
              </w:rPr>
              <w:t>остеопрофиллеры</w:t>
            </w:r>
            <w:proofErr w:type="spellEnd"/>
            <w:r w:rsidRPr="00CD4FF6">
              <w:rPr>
                <w:bCs/>
              </w:rPr>
              <w:t xml:space="preserve"> двух типов, тип A  и тип B. возможна постановка с помощью системы компьютерной навигации, не требующей снимков сделанных на компьютерном томографе.</w:t>
            </w:r>
            <w:proofErr w:type="gramEnd"/>
            <w:r w:rsidRPr="00CD4FF6">
              <w:rPr>
                <w:bCs/>
              </w:rPr>
              <w:t xml:space="preserve"> Поставка размеров осуществляется по предварительной заявке Заказчика. 2. </w:t>
            </w:r>
            <w:proofErr w:type="spellStart"/>
            <w:r w:rsidRPr="00CD4FF6">
              <w:rPr>
                <w:bCs/>
              </w:rPr>
              <w:t>Эндопротез</w:t>
            </w:r>
            <w:proofErr w:type="spellEnd"/>
            <w:r w:rsidRPr="00CD4FF6">
              <w:rPr>
                <w:bCs/>
              </w:rPr>
              <w:t xml:space="preserve"> вертлужной впадины (чашка) </w:t>
            </w:r>
            <w:proofErr w:type="spellStart"/>
            <w:r w:rsidRPr="00CD4FF6">
              <w:rPr>
                <w:bCs/>
              </w:rPr>
              <w:t>бесцементной</w:t>
            </w:r>
            <w:proofErr w:type="spellEnd"/>
            <w:r w:rsidRPr="00CD4FF6">
              <w:rPr>
                <w:bCs/>
              </w:rPr>
              <w:t xml:space="preserve"> фиксации, типа </w:t>
            </w:r>
            <w:proofErr w:type="spellStart"/>
            <w:r w:rsidRPr="00CD4FF6">
              <w:rPr>
                <w:bCs/>
              </w:rPr>
              <w:t>прессфит</w:t>
            </w:r>
            <w:proofErr w:type="spellEnd"/>
            <w:r w:rsidRPr="00CD4FF6">
              <w:rPr>
                <w:bCs/>
              </w:rPr>
              <w:t xml:space="preserve"> и с высокопористым покрытием, выполненным путем плазменного  напыления частиц чистого титана, размер пор 50-200 микрон, с конусным типом фиксации как </w:t>
            </w:r>
            <w:proofErr w:type="spellStart"/>
            <w:r w:rsidRPr="00CD4FF6">
              <w:rPr>
                <w:bCs/>
              </w:rPr>
              <w:t>ПЭ-вкладыша</w:t>
            </w:r>
            <w:proofErr w:type="spellEnd"/>
            <w:r w:rsidRPr="00CD4FF6">
              <w:rPr>
                <w:bCs/>
              </w:rPr>
              <w:t xml:space="preserve">, так и керамического вкладыша. </w:t>
            </w:r>
            <w:proofErr w:type="spellStart"/>
            <w:r w:rsidRPr="00CD4FF6">
              <w:rPr>
                <w:bCs/>
              </w:rPr>
              <w:t>Ацетабулярный</w:t>
            </w:r>
            <w:proofErr w:type="spellEnd"/>
            <w:r w:rsidRPr="00CD4FF6">
              <w:rPr>
                <w:bCs/>
              </w:rPr>
              <w:t xml:space="preserve"> компонент имеет три отверстия под </w:t>
            </w:r>
            <w:proofErr w:type="spellStart"/>
            <w:r w:rsidRPr="00CD4FF6">
              <w:rPr>
                <w:bCs/>
              </w:rPr>
              <w:t>антиротационные</w:t>
            </w:r>
            <w:proofErr w:type="spellEnd"/>
            <w:r w:rsidRPr="00CD4FF6">
              <w:rPr>
                <w:bCs/>
              </w:rPr>
              <w:t xml:space="preserve"> винты. Спектр размеров чашек – от 44 мм до 68 мм., возможна постановка с помощью системы компьютерной навигации, не требующей снимков сделанных на компьютерном томографе</w:t>
            </w:r>
            <w:proofErr w:type="gramStart"/>
            <w:r w:rsidRPr="00CD4FF6">
              <w:rPr>
                <w:bCs/>
              </w:rPr>
              <w:t xml:space="preserve"> .</w:t>
            </w:r>
            <w:proofErr w:type="gramEnd"/>
            <w:r w:rsidRPr="00CD4FF6">
              <w:rPr>
                <w:bCs/>
              </w:rPr>
              <w:t xml:space="preserve"> Поставка размеров осуществляется по предварительной заявке Заказчика.3. Вкладыш изготовлен из высокомолекулярного полиэтилена, с внутренним диаметром под головку 28мм. Самотормозящее конусное крепление с шестигранной верхушкой должно надежно фиксировать положение и предотвращает относительное </w:t>
            </w:r>
            <w:proofErr w:type="spellStart"/>
            <w:r w:rsidRPr="00CD4FF6">
              <w:rPr>
                <w:bCs/>
              </w:rPr>
              <w:t>микродвижение</w:t>
            </w:r>
            <w:proofErr w:type="spellEnd"/>
            <w:r w:rsidRPr="00CD4FF6">
              <w:rPr>
                <w:bCs/>
              </w:rPr>
              <w:t xml:space="preserve">.  Наибольшая толщина полиэтилена находится в зоне максимальной нагрузки, с конусным типом фиксации. Размеры соответствуют размерам чаши 44-46 мм, 48-50 мм, 52-54мм, 56-58 мм, 60-62 мм, 64-68 мм. Поставка размеров осуществляется по предварительной заявке Заказчика. 4. Головка изготовлена из металлического </w:t>
            </w:r>
            <w:proofErr w:type="spellStart"/>
            <w:r w:rsidRPr="00CD4FF6">
              <w:rPr>
                <w:bCs/>
              </w:rPr>
              <w:t>кобальт-хромового</w:t>
            </w:r>
            <w:proofErr w:type="spellEnd"/>
            <w:r w:rsidRPr="00CD4FF6">
              <w:rPr>
                <w:bCs/>
              </w:rPr>
              <w:t xml:space="preserve"> сплава, конус 12/14, диаметром 28мм. 5 размеров (S, M, L, XL, XXL</w:t>
            </w:r>
            <w:proofErr w:type="gramStart"/>
            <w:r w:rsidRPr="00CD4FF6">
              <w:rPr>
                <w:bCs/>
              </w:rPr>
              <w:t xml:space="preserve"> )</w:t>
            </w:r>
            <w:proofErr w:type="gramEnd"/>
            <w:r w:rsidRPr="00CD4FF6">
              <w:rPr>
                <w:bCs/>
              </w:rPr>
              <w:t>. Поставка размеров осуществляется по предварительной заявке Заказчика.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38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F421C5" w:rsidP="00F421C5">
            <w:pPr>
              <w:jc w:val="center"/>
              <w:rPr>
                <w:bCs/>
              </w:rPr>
            </w:pPr>
            <w:r>
              <w:rPr>
                <w:bCs/>
              </w:rPr>
              <w:t>424 400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16 127 200</w:t>
            </w:r>
          </w:p>
        </w:tc>
      </w:tr>
      <w:tr w:rsidR="00D765B6" w:rsidRPr="00D765B6" w:rsidTr="00F421C5">
        <w:trPr>
          <w:trHeight w:val="5095"/>
        </w:trPr>
        <w:tc>
          <w:tcPr>
            <w:tcW w:w="534" w:type="dxa"/>
            <w:vMerge w:val="restart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lastRenderedPageBreak/>
              <w:t>13</w:t>
            </w:r>
          </w:p>
        </w:tc>
        <w:tc>
          <w:tcPr>
            <w:tcW w:w="2372" w:type="dxa"/>
            <w:vMerge w:val="restart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gramStart"/>
            <w:r w:rsidRPr="00CD4FF6">
              <w:rPr>
                <w:bCs/>
              </w:rPr>
              <w:t>Тотальный</w:t>
            </w:r>
            <w:proofErr w:type="gramEnd"/>
            <w:r w:rsidRPr="00CD4FF6">
              <w:rPr>
                <w:bCs/>
              </w:rPr>
              <w:t xml:space="preserve"> </w:t>
            </w:r>
            <w:proofErr w:type="spellStart"/>
            <w:r w:rsidRPr="00CD4FF6">
              <w:rPr>
                <w:bCs/>
              </w:rPr>
              <w:t>эндопротез</w:t>
            </w:r>
            <w:proofErr w:type="spellEnd"/>
            <w:r w:rsidRPr="00CD4FF6">
              <w:rPr>
                <w:bCs/>
              </w:rPr>
              <w:t xml:space="preserve"> тазобедренного сустава </w:t>
            </w:r>
            <w:proofErr w:type="spellStart"/>
            <w:r w:rsidRPr="00CD4FF6">
              <w:rPr>
                <w:bCs/>
              </w:rPr>
              <w:t>бесцементной</w:t>
            </w:r>
            <w:proofErr w:type="spellEnd"/>
            <w:r w:rsidRPr="00CD4FF6">
              <w:rPr>
                <w:bCs/>
              </w:rPr>
              <w:t xml:space="preserve"> фиксации</w:t>
            </w: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Ножка  (стандартный офсет, без воротника): </w:t>
            </w:r>
            <w:proofErr w:type="gramStart"/>
            <w:r w:rsidRPr="00CD4FF6">
              <w:rPr>
                <w:bCs/>
              </w:rPr>
              <w:t xml:space="preserve">Должна быть изготовлена из кованого титана (TAl6 V4),  Должна обеспечивать </w:t>
            </w:r>
            <w:proofErr w:type="spellStart"/>
            <w:r w:rsidRPr="00CD4FF6">
              <w:rPr>
                <w:bCs/>
              </w:rPr>
              <w:t>бесцементную</w:t>
            </w:r>
            <w:proofErr w:type="spellEnd"/>
            <w:r w:rsidRPr="00CD4FF6">
              <w:rPr>
                <w:bCs/>
              </w:rPr>
              <w:t xml:space="preserve"> проксимальную фиксации с дистальной стабилизацией; </w:t>
            </w:r>
            <w:r w:rsidRPr="00CD4FF6">
              <w:rPr>
                <w:bCs/>
              </w:rPr>
              <w:br w:type="page"/>
              <w:t xml:space="preserve"> Ножка должна иметь клиновидную форму (во фронтальной, сагиттальной и поперечной плоскостях); Должна иметь варианты с </w:t>
            </w:r>
            <w:proofErr w:type="spellStart"/>
            <w:r w:rsidRPr="00CD4FF6">
              <w:rPr>
                <w:bCs/>
              </w:rPr>
              <w:t>калькарной</w:t>
            </w:r>
            <w:proofErr w:type="spellEnd"/>
            <w:r w:rsidRPr="00CD4FF6">
              <w:rPr>
                <w:bCs/>
              </w:rPr>
              <w:t xml:space="preserve"> площадкой и без нее; в проксимальной части должна иметь горизонтальные ребра,    </w:t>
            </w:r>
            <w:proofErr w:type="spellStart"/>
            <w:r w:rsidRPr="00CD4FF6">
              <w:rPr>
                <w:bCs/>
              </w:rPr>
              <w:t>циркулярно</w:t>
            </w:r>
            <w:proofErr w:type="spellEnd"/>
            <w:r w:rsidRPr="00CD4FF6">
              <w:rPr>
                <w:bCs/>
              </w:rPr>
              <w:t xml:space="preserve"> по всему периметру, количество которых должно увеличиваться с увеличением размера компонента.</w:t>
            </w:r>
            <w:proofErr w:type="gramEnd"/>
            <w:r w:rsidRPr="00CD4FF6">
              <w:rPr>
                <w:bCs/>
              </w:rPr>
              <w:t xml:space="preserve"> Имплантация не должна требовать применения разверток для канала бедренной кости. Полное заклинивание и осевая стабильность в проксимальном отделе бедра должны достигаться за счет конусовидного сужения в проксимальной части по передней и задней поверхностям ножки </w:t>
            </w:r>
            <w:proofErr w:type="spellStart"/>
            <w:r w:rsidRPr="00CD4FF6">
              <w:rPr>
                <w:bCs/>
              </w:rPr>
              <w:t>эндопротеза</w:t>
            </w:r>
            <w:proofErr w:type="spellEnd"/>
            <w:r w:rsidRPr="00CD4FF6">
              <w:rPr>
                <w:bCs/>
              </w:rPr>
              <w:t xml:space="preserve">. Прямоугольное сечение должно предотвращать </w:t>
            </w:r>
            <w:proofErr w:type="gramStart"/>
            <w:r w:rsidRPr="00CD4FF6">
              <w:rPr>
                <w:bCs/>
              </w:rPr>
              <w:t>осевую</w:t>
            </w:r>
            <w:proofErr w:type="gramEnd"/>
            <w:r w:rsidRPr="00CD4FF6">
              <w:rPr>
                <w:bCs/>
              </w:rPr>
              <w:t xml:space="preserve"> </w:t>
            </w:r>
            <w:proofErr w:type="spellStart"/>
            <w:r w:rsidRPr="00CD4FF6">
              <w:rPr>
                <w:bCs/>
              </w:rPr>
              <w:t>микроподвижность</w:t>
            </w:r>
            <w:proofErr w:type="spellEnd"/>
            <w:r w:rsidRPr="00CD4FF6">
              <w:rPr>
                <w:bCs/>
              </w:rPr>
              <w:t xml:space="preserve">. Горизонтальные ребра в проксимальной части ножки должны обеспечивать распределение нагрузки на кость и должны  предупреждать проседание ножки, переводя максимум нагрузки в компрессию, и должны увеличивать площадь поверхности на 15%.  Дистальные вертикальные углубления на ножке должны обеспечивать ротационную стабильность. </w:t>
            </w:r>
            <w:proofErr w:type="gramStart"/>
            <w:r w:rsidRPr="00CD4FF6">
              <w:rPr>
                <w:bCs/>
              </w:rPr>
              <w:t xml:space="preserve">Ножка должна иметь </w:t>
            </w:r>
            <w:proofErr w:type="spellStart"/>
            <w:r w:rsidRPr="00CD4FF6">
              <w:rPr>
                <w:bCs/>
              </w:rPr>
              <w:t>гидроксиаппатитовое</w:t>
            </w:r>
            <w:proofErr w:type="spellEnd"/>
            <w:r w:rsidRPr="00CD4FF6">
              <w:rPr>
                <w:bCs/>
              </w:rPr>
              <w:t xml:space="preserve"> покрытие с контролированной толщиной в 155mm, что создаёт оптимальные условия для интеграции инертного </w:t>
            </w:r>
            <w:proofErr w:type="spellStart"/>
            <w:r w:rsidRPr="00CD4FF6">
              <w:rPr>
                <w:bCs/>
              </w:rPr>
              <w:t>импланта</w:t>
            </w:r>
            <w:proofErr w:type="spellEnd"/>
            <w:r w:rsidRPr="00CD4FF6">
              <w:rPr>
                <w:bCs/>
              </w:rPr>
              <w:t xml:space="preserve"> и живой кости.</w:t>
            </w:r>
            <w:proofErr w:type="gramEnd"/>
            <w:r w:rsidRPr="00CD4FF6">
              <w:rPr>
                <w:bCs/>
              </w:rPr>
              <w:t xml:space="preserve"> Конус для посадки головки должен быть равен 12/14, Угол шейки должен составлять 135 градусов. Офсет должен прогрессивно увеличиваться с увеличением размера компонента.</w:t>
            </w:r>
            <w:r w:rsidRPr="00CD4FF6">
              <w:rPr>
                <w:bCs/>
              </w:rPr>
              <w:br w:type="page"/>
              <w:t>Размеры ножки должны быть: 8, 9, 10, 11, 12, 13, 14, 15, 16, 18</w:t>
            </w:r>
            <w:r w:rsidRPr="00CD4FF6">
              <w:rPr>
                <w:bCs/>
              </w:rPr>
              <w:br w:type="page"/>
              <w:t>Длина ножки должна быть от 130мм. до 190мм. с шагом в 5мм.</w:t>
            </w:r>
            <w:r w:rsidRPr="00CD4FF6">
              <w:rPr>
                <w:bCs/>
              </w:rPr>
              <w:br w:type="page"/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Merge w:val="restart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15</w:t>
            </w:r>
          </w:p>
        </w:tc>
        <w:tc>
          <w:tcPr>
            <w:tcW w:w="1097" w:type="dxa"/>
            <w:vMerge w:val="restart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436 465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D765B6" w:rsidRPr="00CD4FF6" w:rsidRDefault="00D765B6" w:rsidP="00F421C5">
            <w:pPr>
              <w:jc w:val="center"/>
              <w:rPr>
                <w:bCs/>
              </w:rPr>
            </w:pPr>
            <w:r w:rsidRPr="00CD4FF6">
              <w:rPr>
                <w:bCs/>
              </w:rPr>
              <w:t>6 546 975</w:t>
            </w:r>
          </w:p>
        </w:tc>
      </w:tr>
      <w:tr w:rsidR="00D765B6" w:rsidRPr="00D765B6" w:rsidTr="00F421C5">
        <w:trPr>
          <w:trHeight w:val="560"/>
        </w:trPr>
        <w:tc>
          <w:tcPr>
            <w:tcW w:w="534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2372" w:type="dxa"/>
            <w:vMerge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Головка: Должна быть изготовлена из </w:t>
            </w:r>
            <w:proofErr w:type="spellStart"/>
            <w:proofErr w:type="gramStart"/>
            <w:r w:rsidRPr="00CD4FF6">
              <w:rPr>
                <w:bCs/>
              </w:rPr>
              <w:t>кобальт-хромового</w:t>
            </w:r>
            <w:proofErr w:type="spellEnd"/>
            <w:proofErr w:type="gramEnd"/>
            <w:r w:rsidRPr="00CD4FF6">
              <w:rPr>
                <w:bCs/>
              </w:rPr>
              <w:t xml:space="preserve"> сплава, конус 12/14, диаметром 28 мм., Размерами (+1,5; +5,0; +8,5; +12,0мм)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</w:tr>
      <w:tr w:rsidR="00D765B6" w:rsidRPr="00D765B6" w:rsidTr="00F421C5">
        <w:trPr>
          <w:trHeight w:val="3111"/>
        </w:trPr>
        <w:tc>
          <w:tcPr>
            <w:tcW w:w="534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2372" w:type="dxa"/>
            <w:vMerge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spellStart"/>
            <w:r w:rsidRPr="00CD4FF6">
              <w:rPr>
                <w:bCs/>
              </w:rPr>
              <w:t>Ацетабулярный</w:t>
            </w:r>
            <w:proofErr w:type="spellEnd"/>
            <w:r w:rsidRPr="00CD4FF6">
              <w:rPr>
                <w:bCs/>
              </w:rPr>
              <w:t xml:space="preserve"> компонент (чашка): По форме должен представлять собой полную полусферу, без фланца, без отверстий либо с тремя и более отверстиями под </w:t>
            </w:r>
            <w:proofErr w:type="spellStart"/>
            <w:r w:rsidRPr="00CD4FF6">
              <w:rPr>
                <w:bCs/>
              </w:rPr>
              <w:t>антиротационные</w:t>
            </w:r>
            <w:proofErr w:type="spellEnd"/>
            <w:r w:rsidRPr="00CD4FF6">
              <w:rPr>
                <w:bCs/>
              </w:rPr>
              <w:t xml:space="preserve"> винты. Должен обеспечивать </w:t>
            </w:r>
            <w:proofErr w:type="spellStart"/>
            <w:r w:rsidRPr="00CD4FF6">
              <w:rPr>
                <w:bCs/>
              </w:rPr>
              <w:t>бесцементную</w:t>
            </w:r>
            <w:proofErr w:type="spellEnd"/>
            <w:r w:rsidRPr="00CD4FF6">
              <w:rPr>
                <w:bCs/>
              </w:rPr>
              <w:t xml:space="preserve"> фиксацию типа </w:t>
            </w:r>
            <w:proofErr w:type="spellStart"/>
            <w:r w:rsidRPr="00CD4FF6">
              <w:rPr>
                <w:bCs/>
              </w:rPr>
              <w:t>пресс-фит</w:t>
            </w:r>
            <w:proofErr w:type="spellEnd"/>
            <w:r w:rsidRPr="00CD4FF6">
              <w:rPr>
                <w:bCs/>
              </w:rPr>
              <w:t xml:space="preserve">, должен быть изготовлен из титанового сплава. Чашка должна иметь 12 </w:t>
            </w:r>
            <w:proofErr w:type="spellStart"/>
            <w:r w:rsidRPr="00CD4FF6">
              <w:rPr>
                <w:bCs/>
              </w:rPr>
              <w:t>антиротационных</w:t>
            </w:r>
            <w:proofErr w:type="spellEnd"/>
            <w:r w:rsidRPr="00CD4FF6">
              <w:rPr>
                <w:bCs/>
              </w:rPr>
              <w:t xml:space="preserve"> выемок для вкладыша по внутренней поверхности края, должна содержать  конусовидный запирательный механизм для вкладыша. Наружная поверхность чашки должна содержать высокопористое покрытие, выполненное путем </w:t>
            </w:r>
            <w:proofErr w:type="spellStart"/>
            <w:r w:rsidRPr="00CD4FF6">
              <w:rPr>
                <w:bCs/>
              </w:rPr>
              <w:t>спечения</w:t>
            </w:r>
            <w:proofErr w:type="spellEnd"/>
            <w:r w:rsidRPr="00CD4FF6">
              <w:rPr>
                <w:bCs/>
              </w:rPr>
              <w:t xml:space="preserve"> металлических зерен,  размеры пор между ними должно составлять около 250 микрон, что соответствует размерам </w:t>
            </w:r>
            <w:proofErr w:type="spellStart"/>
            <w:r w:rsidRPr="00CD4FF6">
              <w:rPr>
                <w:bCs/>
              </w:rPr>
              <w:t>васкуляризованных</w:t>
            </w:r>
            <w:proofErr w:type="spellEnd"/>
            <w:r w:rsidRPr="00CD4FF6">
              <w:rPr>
                <w:bCs/>
              </w:rPr>
              <w:t xml:space="preserve"> костных балок и представляет потенциально большее число точек контакта с костью на единицу площади, благоприятствует врастанию костной ткани. </w:t>
            </w:r>
            <w:r w:rsidRPr="00CD4FF6">
              <w:rPr>
                <w:bCs/>
              </w:rPr>
              <w:br/>
              <w:t xml:space="preserve">Количество типоразмеров чашек должно быть равно десяти (48 - 66 мм, с величиной шага 2 мм). 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52036A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</w:t>
            </w:r>
            <w:r w:rsidR="00D765B6" w:rsidRPr="00CD4FF6">
              <w:rPr>
                <w:bCs/>
              </w:rPr>
              <w:t>т</w:t>
            </w:r>
            <w:proofErr w:type="spellEnd"/>
            <w:proofErr w:type="gramEnd"/>
          </w:p>
        </w:tc>
        <w:tc>
          <w:tcPr>
            <w:tcW w:w="812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</w:tr>
      <w:tr w:rsidR="00D765B6" w:rsidRPr="00D765B6" w:rsidTr="00F421C5">
        <w:trPr>
          <w:trHeight w:val="841"/>
        </w:trPr>
        <w:tc>
          <w:tcPr>
            <w:tcW w:w="534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2372" w:type="dxa"/>
            <w:vMerge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>Вкладыш: Должен быть изготовлен из высокомолекулярного полиэтилена с поперечными связями 3-х модификаций: нейтральный, +4, +4 10 градусов под головки диаметром 28 и 36мм.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</w:tr>
      <w:tr w:rsidR="00D765B6" w:rsidRPr="00D765B6" w:rsidTr="00F421C5">
        <w:trPr>
          <w:trHeight w:val="559"/>
        </w:trPr>
        <w:tc>
          <w:tcPr>
            <w:tcW w:w="534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2372" w:type="dxa"/>
            <w:vMerge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Винт </w:t>
            </w:r>
            <w:proofErr w:type="spellStart"/>
            <w:r w:rsidRPr="00CD4FF6">
              <w:rPr>
                <w:bCs/>
              </w:rPr>
              <w:t>спонгиозный</w:t>
            </w:r>
            <w:proofErr w:type="spellEnd"/>
            <w:r w:rsidRPr="00CD4FF6">
              <w:rPr>
                <w:bCs/>
              </w:rPr>
              <w:t xml:space="preserve"> Pinnacle-Для дополнительной фиксации вертлужного компонента: не менее 12 типоразмеров по длине (диаметр 6,5 мм, длина от 15 до 70 мм с шагом 5мм).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</w:tr>
      <w:tr w:rsidR="00D765B6" w:rsidRPr="00D765B6" w:rsidTr="00F421C5">
        <w:trPr>
          <w:trHeight w:val="4664"/>
        </w:trPr>
        <w:tc>
          <w:tcPr>
            <w:tcW w:w="534" w:type="dxa"/>
            <w:vMerge w:val="restart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14</w:t>
            </w:r>
          </w:p>
        </w:tc>
        <w:tc>
          <w:tcPr>
            <w:tcW w:w="2372" w:type="dxa"/>
            <w:vMerge w:val="restart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spellStart"/>
            <w:r w:rsidRPr="00CD4FF6">
              <w:rPr>
                <w:bCs/>
              </w:rPr>
              <w:t>Эндопротезы</w:t>
            </w:r>
            <w:proofErr w:type="spellEnd"/>
            <w:r w:rsidRPr="00CD4FF6">
              <w:rPr>
                <w:bCs/>
              </w:rPr>
              <w:t xml:space="preserve"> коленного сустава </w:t>
            </w: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Бедренный компонент </w:t>
            </w:r>
            <w:proofErr w:type="gramStart"/>
            <w:r w:rsidRPr="00CD4FF6">
              <w:rPr>
                <w:bCs/>
              </w:rPr>
              <w:t>-М</w:t>
            </w:r>
            <w:proofErr w:type="gramEnd"/>
            <w:r w:rsidRPr="00CD4FF6">
              <w:rPr>
                <w:bCs/>
              </w:rPr>
              <w:t xml:space="preserve">атериал: кованый кобальтохромовый сплав. Форма анатомическая (правый и левый). Единый радиус в сагиттальной плоскости в диапазоне от 10 до 110 либо от 0 до 95 либо от -15 до 75  градусов. На внутренней поверхности дистальных мыщелков имеются </w:t>
            </w:r>
            <w:proofErr w:type="spellStart"/>
            <w:r w:rsidRPr="00CD4FF6">
              <w:rPr>
                <w:bCs/>
              </w:rPr>
              <w:t>деротационные</w:t>
            </w:r>
            <w:proofErr w:type="spellEnd"/>
            <w:r w:rsidRPr="00CD4FF6">
              <w:rPr>
                <w:bCs/>
              </w:rPr>
              <w:t xml:space="preserve"> ножки высотой до 15.5 мм и максимальным диаметром 7 мм либо места для крепления модульных ножек. 6-9 типоразмеров для правого и левого компонентов. Сочетаемость с большеберцовым вкладышем ± 1 размер. Сочетаемость с компонентом надколенника не ограничена. Тип фиксаци</w:t>
            </w:r>
            <w:proofErr w:type="gramStart"/>
            <w:r w:rsidRPr="00CD4FF6">
              <w:rPr>
                <w:bCs/>
              </w:rPr>
              <w:t>и-</w:t>
            </w:r>
            <w:proofErr w:type="gramEnd"/>
            <w:r w:rsidRPr="00CD4FF6">
              <w:rPr>
                <w:bCs/>
              </w:rPr>
              <w:t xml:space="preserve"> цементная. </w:t>
            </w:r>
            <w:r w:rsidRPr="00CD4FF6">
              <w:rPr>
                <w:bCs/>
              </w:rPr>
              <w:br w:type="page"/>
              <w:t xml:space="preserve">Особенность компонента с дополнительной стабилизацией и степенью связанности: обработка несущей поверхности - высокая степень полировки с высокоэнергетической бомбардировкой азотом; обработка внутренней поверхности - вафельная </w:t>
            </w:r>
            <w:proofErr w:type="spellStart"/>
            <w:r w:rsidRPr="00CD4FF6">
              <w:rPr>
                <w:bCs/>
              </w:rPr>
              <w:t>макротекстура</w:t>
            </w:r>
            <w:proofErr w:type="spellEnd"/>
            <w:r w:rsidRPr="00CD4FF6">
              <w:rPr>
                <w:bCs/>
              </w:rPr>
              <w:t xml:space="preserve"> глубиной 0,75 мм; допустимая наружновнутренняя ротация ±100; запас наружновнутреннего смещения: до ± 2.5 мм; толщина фланцев: передний - 8 мм. 6 стандартных размеров: переднезадние размеры по наружному мыщелку 54 до 76 мм, наружновнутренний от 56 до 81 мм, внутренние переднезадние размеры от 35 до 58, толщина переднего фланца 8 мм, толщина заднего фланца 8 мм. Ширина короба 17-21 мм. Высота короба 20-25 мм. Ширина мыщелков 20-30 мм. Высота основания ножки 42-48 мм. По внутренней поверхности резьбовые отверстия для фиксации задних и дистальных опорных блоков (аугментов).  </w:t>
            </w:r>
            <w:r w:rsidRPr="00CD4FF6">
              <w:rPr>
                <w:bCs/>
              </w:rPr>
              <w:br w:type="page"/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Merge w:val="restart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15</w:t>
            </w:r>
          </w:p>
        </w:tc>
        <w:tc>
          <w:tcPr>
            <w:tcW w:w="1097" w:type="dxa"/>
            <w:vMerge w:val="restart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448 145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6 722 175</w:t>
            </w:r>
          </w:p>
        </w:tc>
      </w:tr>
      <w:tr w:rsidR="00D765B6" w:rsidRPr="00D765B6" w:rsidTr="00F421C5">
        <w:trPr>
          <w:trHeight w:val="1271"/>
        </w:trPr>
        <w:tc>
          <w:tcPr>
            <w:tcW w:w="534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2372" w:type="dxa"/>
            <w:vMerge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>Большеберцовый компонент</w:t>
            </w:r>
            <w:proofErr w:type="gramStart"/>
            <w:r w:rsidRPr="00CD4FF6">
              <w:rPr>
                <w:bCs/>
              </w:rPr>
              <w:t xml:space="preserve"> -- </w:t>
            </w:r>
            <w:proofErr w:type="gramEnd"/>
            <w:r w:rsidRPr="00CD4FF6">
              <w:rPr>
                <w:bCs/>
              </w:rPr>
              <w:t xml:space="preserve">Материал: кованый кобальтохромовый сплав. Форма: </w:t>
            </w:r>
            <w:proofErr w:type="gramStart"/>
            <w:r w:rsidRPr="00CD4FF6">
              <w:rPr>
                <w:bCs/>
              </w:rPr>
              <w:t>универсальный</w:t>
            </w:r>
            <w:proofErr w:type="gramEnd"/>
            <w:r w:rsidRPr="00CD4FF6">
              <w:rPr>
                <w:bCs/>
              </w:rPr>
              <w:t xml:space="preserve"> для правого и левого суставов. Ножка имеет </w:t>
            </w:r>
            <w:proofErr w:type="spellStart"/>
            <w:r w:rsidRPr="00CD4FF6">
              <w:rPr>
                <w:bCs/>
              </w:rPr>
              <w:t>килевидную</w:t>
            </w:r>
            <w:proofErr w:type="spellEnd"/>
            <w:r w:rsidRPr="00CD4FF6">
              <w:rPr>
                <w:bCs/>
              </w:rPr>
              <w:t xml:space="preserve"> форму со ступенчатыми боковыми крыльями. Типоразмеры: 6-8 типоразмеров. Толщина: до 3,3 мм. В компоненте с возможностью фиксац</w:t>
            </w:r>
            <w:proofErr w:type="gramStart"/>
            <w:r w:rsidRPr="00CD4FF6">
              <w:rPr>
                <w:bCs/>
              </w:rPr>
              <w:t>ии ау</w:t>
            </w:r>
            <w:proofErr w:type="gramEnd"/>
            <w:r w:rsidRPr="00CD4FF6">
              <w:rPr>
                <w:bCs/>
              </w:rPr>
              <w:t>гментов и удлинителя ножки имеются 4 отверстия под фиксационные винты и отверстие в ножке для удлинителя ножки.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</w:tr>
      <w:tr w:rsidR="00D765B6" w:rsidRPr="00D765B6" w:rsidTr="00F421C5">
        <w:trPr>
          <w:trHeight w:val="5095"/>
        </w:trPr>
        <w:tc>
          <w:tcPr>
            <w:tcW w:w="534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2372" w:type="dxa"/>
            <w:vMerge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Материал: </w:t>
            </w:r>
            <w:proofErr w:type="spellStart"/>
            <w:r w:rsidRPr="00CD4FF6">
              <w:rPr>
                <w:bCs/>
              </w:rPr>
              <w:t>Сверхвысокомолекулярный</w:t>
            </w:r>
            <w:proofErr w:type="spellEnd"/>
            <w:r w:rsidRPr="00CD4FF6">
              <w:rPr>
                <w:bCs/>
              </w:rPr>
              <w:t xml:space="preserve"> полиэтилен с большим количеством поперечных связей. Особенности производства полиэтилена: троекратно Большеберцовый вкладыш </w:t>
            </w:r>
            <w:proofErr w:type="gramStart"/>
            <w:r w:rsidRPr="00CD4FF6">
              <w:rPr>
                <w:bCs/>
              </w:rPr>
              <w:t>-п</w:t>
            </w:r>
            <w:proofErr w:type="gramEnd"/>
            <w:r w:rsidRPr="00CD4FF6">
              <w:rPr>
                <w:bCs/>
              </w:rPr>
              <w:t xml:space="preserve">одвергнут воздействию гамма-излучения в дозе 30 </w:t>
            </w:r>
            <w:proofErr w:type="spellStart"/>
            <w:r w:rsidRPr="00CD4FF6">
              <w:rPr>
                <w:bCs/>
              </w:rPr>
              <w:t>кГр</w:t>
            </w:r>
            <w:proofErr w:type="spellEnd"/>
            <w:r w:rsidRPr="00CD4FF6">
              <w:rPr>
                <w:bCs/>
              </w:rPr>
              <w:t xml:space="preserve"> (3 мрад) с последующим нагреванием до 130 градусов по Цельсию (ниже температуры плавления полиэтилена). Фиксирующая проволока из кобальтохромового сплава.  Форма 4 варианта: CR для случаев с функционирующей задней крестообразной связкой и CS с </w:t>
            </w:r>
            <w:proofErr w:type="spellStart"/>
            <w:r w:rsidRPr="00CD4FF6">
              <w:rPr>
                <w:bCs/>
              </w:rPr>
              <w:t>мыщелковой</w:t>
            </w:r>
            <w:proofErr w:type="spellEnd"/>
            <w:r w:rsidRPr="00CD4FF6">
              <w:rPr>
                <w:bCs/>
              </w:rPr>
              <w:t xml:space="preserve"> стабилизацией для случаев с ослабленной или отсутствующей задней крестообразной связкой и PS для замещения крестообразной связки. Верхняя поверхность вкладышей СR, CS, PS имеет форму сферической </w:t>
            </w:r>
            <w:proofErr w:type="gramStart"/>
            <w:r w:rsidRPr="00CD4FF6">
              <w:rPr>
                <w:bCs/>
              </w:rPr>
              <w:t>дуги</w:t>
            </w:r>
            <w:proofErr w:type="gramEnd"/>
            <w:r w:rsidRPr="00CD4FF6">
              <w:rPr>
                <w:bCs/>
              </w:rPr>
              <w:t xml:space="preserve"> и дизайн не ограничивает ротационную подвижность бедренного компонента в пределах ±20 градусов. В переднем отделе артикулирующей поверхности имеется углубление по центру для снижения вероятности конфликта с надколенником. Задний край суставной поверхности вкладыша скошен. В варианте в CS увеличена высота переднего края вкладыша и </w:t>
            </w:r>
            <w:proofErr w:type="spellStart"/>
            <w:r w:rsidRPr="00CD4FF6">
              <w:rPr>
                <w:bCs/>
              </w:rPr>
              <w:t>межмыщелковой</w:t>
            </w:r>
            <w:proofErr w:type="spellEnd"/>
            <w:r w:rsidRPr="00CD4FF6">
              <w:rPr>
                <w:bCs/>
              </w:rPr>
              <w:t xml:space="preserve"> зоны. Вкладыши универсальны для правого и левого суставов. Особенность вкладыша типа TS: материал - высокомолекулярный полиэтилен стерилизованный гамма излучением в азоте. Стабилизирующий штифт – кобальтохромовый сплав. Встроенный наклон назад = 4°; Высота заднего стабилизатора: 23-27-29 мм; Ширина заднего стабилизатора: 16-20 мм; В передней части имеется фиксационная проволока.</w:t>
            </w:r>
            <w:r w:rsidRPr="00CD4FF6">
              <w:rPr>
                <w:bCs/>
              </w:rPr>
              <w:br/>
              <w:t xml:space="preserve">Количество типоразмеров: 6-8. Толщина вкладыша с учетом толщины основания большеберцового компонента: 8 -24 мм. Механизм фиксации: защелкивание. 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</w:tr>
      <w:tr w:rsidR="00D765B6" w:rsidRPr="00D765B6" w:rsidTr="00F421C5">
        <w:trPr>
          <w:trHeight w:val="3111"/>
        </w:trPr>
        <w:tc>
          <w:tcPr>
            <w:tcW w:w="534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2372" w:type="dxa"/>
            <w:vMerge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spellStart"/>
            <w:r w:rsidRPr="00CD4FF6">
              <w:rPr>
                <w:bCs/>
              </w:rPr>
              <w:t>Рентгенконтрастный</w:t>
            </w:r>
            <w:proofErr w:type="spellEnd"/>
            <w:r w:rsidRPr="00CD4FF6">
              <w:rPr>
                <w:bCs/>
              </w:rPr>
              <w:t xml:space="preserve"> костный цемент: </w:t>
            </w:r>
            <w:r w:rsidRPr="00CD4FF6">
              <w:rPr>
                <w:bCs/>
              </w:rPr>
              <w:br w:type="page"/>
              <w:t xml:space="preserve">Костный цемент </w:t>
            </w:r>
            <w:r w:rsidRPr="00CD4FF6">
              <w:rPr>
                <w:bCs/>
              </w:rPr>
              <w:br w:type="page"/>
              <w:t xml:space="preserve">Должен собой представлять 2 стерильно </w:t>
            </w:r>
            <w:proofErr w:type="gramStart"/>
            <w:r w:rsidRPr="00CD4FF6">
              <w:rPr>
                <w:bCs/>
              </w:rPr>
              <w:t>упакованных</w:t>
            </w:r>
            <w:proofErr w:type="gramEnd"/>
            <w:r w:rsidRPr="00CD4FF6">
              <w:rPr>
                <w:bCs/>
              </w:rPr>
              <w:t xml:space="preserve"> компонента:</w:t>
            </w:r>
            <w:r w:rsidRPr="00CD4FF6">
              <w:rPr>
                <w:bCs/>
              </w:rPr>
              <w:br w:type="page"/>
              <w:t>Один компонент: ампула, содержащая жидкий мономер, полная доза  следующего состава: 20 мл.</w:t>
            </w:r>
            <w:r w:rsidRPr="00CD4FF6">
              <w:rPr>
                <w:bCs/>
              </w:rPr>
              <w:br w:type="page"/>
              <w:t xml:space="preserve"> </w:t>
            </w:r>
            <w:proofErr w:type="gramStart"/>
            <w:r w:rsidRPr="00CD4FF6">
              <w:rPr>
                <w:bCs/>
              </w:rPr>
              <w:t>-М</w:t>
            </w:r>
            <w:proofErr w:type="gramEnd"/>
            <w:r w:rsidRPr="00CD4FF6">
              <w:rPr>
                <w:bCs/>
              </w:rPr>
              <w:t xml:space="preserve">етилметакрилат (мономер) 19,5 мл,  </w:t>
            </w:r>
            <w:r w:rsidRPr="00CD4FF6">
              <w:rPr>
                <w:bCs/>
              </w:rPr>
              <w:br w:type="page"/>
              <w:t xml:space="preserve">-N, </w:t>
            </w:r>
            <w:proofErr w:type="spellStart"/>
            <w:r w:rsidRPr="00CD4FF6">
              <w:rPr>
                <w:bCs/>
              </w:rPr>
              <w:t>N-диметилтолидин</w:t>
            </w:r>
            <w:proofErr w:type="spellEnd"/>
            <w:r w:rsidRPr="00CD4FF6">
              <w:rPr>
                <w:bCs/>
              </w:rPr>
              <w:t xml:space="preserve">  0,5 мл, </w:t>
            </w:r>
            <w:r w:rsidRPr="00CD4FF6">
              <w:rPr>
                <w:bCs/>
              </w:rPr>
              <w:br w:type="page"/>
              <w:t>-</w:t>
            </w:r>
            <w:proofErr w:type="spellStart"/>
            <w:r w:rsidRPr="00CD4FF6">
              <w:rPr>
                <w:bCs/>
              </w:rPr>
              <w:t>Гидрокинон</w:t>
            </w:r>
            <w:proofErr w:type="spellEnd"/>
            <w:r w:rsidRPr="00CD4FF6">
              <w:rPr>
                <w:bCs/>
              </w:rPr>
              <w:t xml:space="preserve"> 1,5 мг.</w:t>
            </w:r>
            <w:r w:rsidRPr="00CD4FF6">
              <w:rPr>
                <w:bCs/>
              </w:rPr>
              <w:br w:type="page"/>
              <w:t xml:space="preserve">Другой компонент: пакет полная доза порошка следующего состава 40 </w:t>
            </w:r>
            <w:proofErr w:type="spellStart"/>
            <w:r w:rsidRPr="00CD4FF6">
              <w:rPr>
                <w:bCs/>
              </w:rPr>
              <w:t>гр</w:t>
            </w:r>
            <w:proofErr w:type="spellEnd"/>
            <w:r w:rsidRPr="00CD4FF6">
              <w:rPr>
                <w:bCs/>
              </w:rPr>
              <w:t>:</w:t>
            </w:r>
            <w:r w:rsidRPr="00CD4FF6">
              <w:rPr>
                <w:bCs/>
              </w:rPr>
              <w:br w:type="page"/>
              <w:t xml:space="preserve"> -Метилметакрилат–</w:t>
            </w:r>
            <w:proofErr w:type="spellStart"/>
            <w:r w:rsidRPr="00CD4FF6">
              <w:rPr>
                <w:bCs/>
              </w:rPr>
              <w:t>стирен</w:t>
            </w:r>
            <w:proofErr w:type="spellEnd"/>
            <w:r w:rsidRPr="00CD4FF6">
              <w:rPr>
                <w:bCs/>
              </w:rPr>
              <w:t xml:space="preserve"> </w:t>
            </w:r>
            <w:proofErr w:type="spellStart"/>
            <w:r w:rsidRPr="00CD4FF6">
              <w:rPr>
                <w:bCs/>
              </w:rPr>
              <w:t>кополимер</w:t>
            </w:r>
            <w:proofErr w:type="spellEnd"/>
            <w:r w:rsidRPr="00CD4FF6">
              <w:rPr>
                <w:bCs/>
              </w:rPr>
              <w:t xml:space="preserve"> 30 </w:t>
            </w:r>
            <w:proofErr w:type="spellStart"/>
            <w:r w:rsidRPr="00CD4FF6">
              <w:rPr>
                <w:bCs/>
              </w:rPr>
              <w:t>гр</w:t>
            </w:r>
            <w:proofErr w:type="spellEnd"/>
            <w:r w:rsidRPr="00CD4FF6">
              <w:rPr>
                <w:bCs/>
              </w:rPr>
              <w:t xml:space="preserve">,  </w:t>
            </w:r>
            <w:r w:rsidRPr="00CD4FF6">
              <w:rPr>
                <w:bCs/>
              </w:rPr>
              <w:br w:type="page"/>
              <w:t xml:space="preserve">-Полиметилметакрилат 6 </w:t>
            </w:r>
            <w:proofErr w:type="spellStart"/>
            <w:r w:rsidRPr="00CD4FF6">
              <w:rPr>
                <w:bCs/>
              </w:rPr>
              <w:t>гр</w:t>
            </w:r>
            <w:proofErr w:type="spellEnd"/>
            <w:r w:rsidRPr="00CD4FF6">
              <w:rPr>
                <w:bCs/>
              </w:rPr>
              <w:t xml:space="preserve">, </w:t>
            </w:r>
            <w:r w:rsidRPr="00CD4FF6">
              <w:rPr>
                <w:bCs/>
              </w:rPr>
              <w:br w:type="page"/>
              <w:t xml:space="preserve"> -Полиметилметакрилат 6 </w:t>
            </w:r>
            <w:proofErr w:type="spellStart"/>
            <w:r w:rsidRPr="00CD4FF6">
              <w:rPr>
                <w:bCs/>
              </w:rPr>
              <w:t>гр</w:t>
            </w:r>
            <w:proofErr w:type="spellEnd"/>
            <w:r w:rsidRPr="00CD4FF6">
              <w:rPr>
                <w:bCs/>
              </w:rPr>
              <w:t>,</w:t>
            </w:r>
            <w:r w:rsidRPr="00CD4FF6">
              <w:rPr>
                <w:bCs/>
              </w:rPr>
              <w:br w:type="page"/>
              <w:t xml:space="preserve"> -Бария Сульфат  4 </w:t>
            </w:r>
            <w:proofErr w:type="spellStart"/>
            <w:r w:rsidRPr="00CD4FF6">
              <w:rPr>
                <w:bCs/>
              </w:rPr>
              <w:t>гр</w:t>
            </w:r>
            <w:proofErr w:type="spellEnd"/>
            <w:r w:rsidRPr="00CD4FF6">
              <w:rPr>
                <w:bCs/>
              </w:rPr>
              <w:t>,</w:t>
            </w:r>
            <w:r w:rsidRPr="00CD4FF6">
              <w:rPr>
                <w:bCs/>
              </w:rPr>
              <w:br w:type="page"/>
              <w:t xml:space="preserve">  Температура экзотермической реакции не более 60</w:t>
            </w:r>
            <w:proofErr w:type="gramStart"/>
            <w:r w:rsidRPr="00CD4FF6">
              <w:rPr>
                <w:bCs/>
              </w:rPr>
              <w:t>˚С</w:t>
            </w:r>
            <w:proofErr w:type="gramEnd"/>
            <w:r w:rsidRPr="00CD4FF6">
              <w:rPr>
                <w:bCs/>
              </w:rPr>
              <w:t>, Вязкость цемента: Должен обладать средней вязкостью. Костный цемент должен в процессе приготовления проходить через фазы низкой и фазу средней вязкости. Производитель должен официально разрешать применять цемент как в фазе низкой, так и в фазе средней вязкости.</w:t>
            </w:r>
            <w:r w:rsidRPr="00CD4FF6">
              <w:rPr>
                <w:bCs/>
              </w:rPr>
              <w:br w:type="page"/>
              <w:t xml:space="preserve">Время работы от 7 до 8 минут. </w:t>
            </w:r>
            <w:r w:rsidRPr="00CD4FF6">
              <w:rPr>
                <w:bCs/>
              </w:rPr>
              <w:br w:type="page"/>
              <w:t>Стерильность: Система является одноразовой и поставляется в стерильной упаковке.</w:t>
            </w:r>
            <w:r w:rsidRPr="00CD4FF6">
              <w:rPr>
                <w:bCs/>
              </w:rPr>
              <w:br w:type="page"/>
            </w:r>
            <w:r w:rsidRPr="00CD4FF6">
              <w:rPr>
                <w:bCs/>
              </w:rPr>
              <w:br w:type="page"/>
            </w:r>
            <w:r w:rsidRPr="00CD4FF6">
              <w:rPr>
                <w:bCs/>
              </w:rPr>
              <w:br w:type="page"/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</w:tr>
      <w:tr w:rsidR="00D765B6" w:rsidRPr="00D765B6" w:rsidTr="00F421C5">
        <w:trPr>
          <w:trHeight w:val="1399"/>
        </w:trPr>
        <w:tc>
          <w:tcPr>
            <w:tcW w:w="534" w:type="dxa"/>
            <w:vMerge w:val="restart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15</w:t>
            </w:r>
          </w:p>
        </w:tc>
        <w:tc>
          <w:tcPr>
            <w:tcW w:w="2372" w:type="dxa"/>
            <w:vMerge w:val="restart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spellStart"/>
            <w:r w:rsidRPr="00CD4FF6">
              <w:rPr>
                <w:bCs/>
              </w:rPr>
              <w:t>Эндопротезы</w:t>
            </w:r>
            <w:proofErr w:type="spellEnd"/>
            <w:r w:rsidRPr="00CD4FF6">
              <w:rPr>
                <w:bCs/>
              </w:rPr>
              <w:t xml:space="preserve"> коленного сустава </w:t>
            </w:r>
            <w:proofErr w:type="spellStart"/>
            <w:r w:rsidRPr="00CD4FF6">
              <w:rPr>
                <w:bCs/>
              </w:rPr>
              <w:t>Одномыщелковый</w:t>
            </w:r>
            <w:proofErr w:type="spellEnd"/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Бедренный компонент: материал </w:t>
            </w:r>
            <w:proofErr w:type="spellStart"/>
            <w:r w:rsidRPr="00CD4FF6">
              <w:rPr>
                <w:bCs/>
              </w:rPr>
              <w:t>CoCr</w:t>
            </w:r>
            <w:proofErr w:type="spellEnd"/>
            <w:r w:rsidRPr="00CD4FF6">
              <w:rPr>
                <w:bCs/>
              </w:rPr>
              <w:t xml:space="preserve"> сплав, Количество типоразмеров – не менее 6, форма - должен иметь единый радиус в сагиттальной плоскости в диапазоне от 10 до 110 градусов. Варианты: левый </w:t>
            </w:r>
            <w:proofErr w:type="spellStart"/>
            <w:r w:rsidRPr="00CD4FF6">
              <w:rPr>
                <w:bCs/>
              </w:rPr>
              <w:t>летеральный</w:t>
            </w:r>
            <w:proofErr w:type="spellEnd"/>
            <w:r w:rsidRPr="00CD4FF6">
              <w:rPr>
                <w:bCs/>
              </w:rPr>
              <w:t>/правый медиальный и левый медиальный/правый латеральный.  Дистальный фланец имеет анатомический боковой наклон в 6.5 градусов. По внутренней поверхности имеются два фиксационных выступа. Толщина дистального фланца – 7 мм. Толщина заднего фланца – 7 мм.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Merge w:val="restart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5</w:t>
            </w:r>
          </w:p>
        </w:tc>
        <w:tc>
          <w:tcPr>
            <w:tcW w:w="1097" w:type="dxa"/>
            <w:vMerge w:val="restart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461 590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2 307 950</w:t>
            </w:r>
          </w:p>
        </w:tc>
      </w:tr>
      <w:tr w:rsidR="00D765B6" w:rsidRPr="00D765B6" w:rsidTr="00F421C5">
        <w:trPr>
          <w:trHeight w:val="701"/>
        </w:trPr>
        <w:tc>
          <w:tcPr>
            <w:tcW w:w="534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2372" w:type="dxa"/>
            <w:vMerge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Большеберцовый компонент: материал - </w:t>
            </w:r>
            <w:proofErr w:type="spellStart"/>
            <w:proofErr w:type="gramStart"/>
            <w:r w:rsidRPr="00CD4FF6">
              <w:rPr>
                <w:bCs/>
              </w:rPr>
              <w:t>С</w:t>
            </w:r>
            <w:proofErr w:type="gramEnd"/>
            <w:r w:rsidRPr="00CD4FF6">
              <w:rPr>
                <w:bCs/>
              </w:rPr>
              <w:t>oCr</w:t>
            </w:r>
            <w:proofErr w:type="spellEnd"/>
            <w:r w:rsidRPr="00CD4FF6">
              <w:rPr>
                <w:bCs/>
              </w:rPr>
              <w:t xml:space="preserve">  сплав. 6 типоразмеров.  Механизм фиксации вкладыша: бортик по всему периметру. По дистальной поверхности имеются два фиксационных выступа.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584A1A" w:rsidP="00CD4FF6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</w:t>
            </w:r>
            <w:r w:rsidR="00D765B6" w:rsidRPr="00CD4FF6">
              <w:rPr>
                <w:bCs/>
              </w:rPr>
              <w:t>т</w:t>
            </w:r>
            <w:proofErr w:type="spellEnd"/>
            <w:proofErr w:type="gramEnd"/>
          </w:p>
        </w:tc>
        <w:tc>
          <w:tcPr>
            <w:tcW w:w="812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</w:tr>
      <w:tr w:rsidR="00D765B6" w:rsidRPr="00D765B6" w:rsidTr="00F421C5">
        <w:trPr>
          <w:trHeight w:val="1633"/>
        </w:trPr>
        <w:tc>
          <w:tcPr>
            <w:tcW w:w="534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2372" w:type="dxa"/>
            <w:vMerge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Вкладыш большеберцовый: материал: выполнен из </w:t>
            </w:r>
            <w:proofErr w:type="spellStart"/>
            <w:r w:rsidRPr="00CD4FF6">
              <w:rPr>
                <w:bCs/>
              </w:rPr>
              <w:t>сверхвысокомолекулярного</w:t>
            </w:r>
            <w:proofErr w:type="spellEnd"/>
            <w:r w:rsidRPr="00CD4FF6">
              <w:rPr>
                <w:bCs/>
              </w:rPr>
              <w:t xml:space="preserve"> полиэтилена с большим количеством поперечных связей. В процессе производства полиэтилен должен последовательно три раза подвергаться воздействию гамма излучением в дозе 3 Мрад (суммарная доза 9 Мрад) и нагреванию до температуры 130 градусов, количество типоразмеров 6, толщина вкладыша 8,9, 10, 12 мм, варианты: левый </w:t>
            </w:r>
            <w:proofErr w:type="spellStart"/>
            <w:r w:rsidRPr="00CD4FF6">
              <w:rPr>
                <w:bCs/>
              </w:rPr>
              <w:t>летеральный</w:t>
            </w:r>
            <w:proofErr w:type="spellEnd"/>
            <w:r w:rsidRPr="00CD4FF6">
              <w:rPr>
                <w:bCs/>
              </w:rPr>
              <w:t>/правый медиальный и левый медиальный/правый латеральный.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</w:tr>
      <w:tr w:rsidR="00D765B6" w:rsidRPr="00D765B6" w:rsidTr="00F421C5">
        <w:trPr>
          <w:trHeight w:val="5086"/>
        </w:trPr>
        <w:tc>
          <w:tcPr>
            <w:tcW w:w="534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2372" w:type="dxa"/>
            <w:vMerge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</w:p>
        </w:tc>
        <w:tc>
          <w:tcPr>
            <w:tcW w:w="8826" w:type="dxa"/>
            <w:hideMark/>
          </w:tcPr>
          <w:p w:rsidR="00D765B6" w:rsidRPr="00CD4FF6" w:rsidRDefault="00D765B6" w:rsidP="00F421C5">
            <w:pPr>
              <w:rPr>
                <w:bCs/>
              </w:rPr>
            </w:pPr>
            <w:proofErr w:type="spellStart"/>
            <w:r w:rsidRPr="00CD4FF6">
              <w:rPr>
                <w:bCs/>
              </w:rPr>
              <w:t>Рентгенконтрастный</w:t>
            </w:r>
            <w:proofErr w:type="spellEnd"/>
            <w:r w:rsidRPr="00CD4FF6">
              <w:rPr>
                <w:bCs/>
              </w:rPr>
              <w:t xml:space="preserve"> костный цемент: </w:t>
            </w:r>
            <w:r w:rsidRPr="00CD4FF6">
              <w:rPr>
                <w:bCs/>
              </w:rPr>
              <w:br/>
              <w:t xml:space="preserve">Костный цемент </w:t>
            </w:r>
            <w:r w:rsidRPr="00CD4FF6">
              <w:rPr>
                <w:bCs/>
              </w:rPr>
              <w:br/>
              <w:t xml:space="preserve">Должен собой представлять 2 стерильно </w:t>
            </w:r>
            <w:proofErr w:type="gramStart"/>
            <w:r w:rsidRPr="00CD4FF6">
              <w:rPr>
                <w:bCs/>
              </w:rPr>
              <w:t>упакованных</w:t>
            </w:r>
            <w:proofErr w:type="gramEnd"/>
            <w:r w:rsidRPr="00CD4FF6">
              <w:rPr>
                <w:bCs/>
              </w:rPr>
              <w:t xml:space="preserve"> компонента:</w:t>
            </w:r>
            <w:r w:rsidRPr="00CD4FF6">
              <w:rPr>
                <w:bCs/>
              </w:rPr>
              <w:br/>
              <w:t>Один компонент: ампула, содержащая жидкий мономер, полная доза  следующего состава: 20 мл.</w:t>
            </w:r>
            <w:r w:rsidRPr="00CD4FF6">
              <w:rPr>
                <w:bCs/>
              </w:rPr>
              <w:br/>
              <w:t xml:space="preserve"> </w:t>
            </w:r>
            <w:proofErr w:type="gramStart"/>
            <w:r w:rsidRPr="00CD4FF6">
              <w:rPr>
                <w:bCs/>
              </w:rPr>
              <w:t>-М</w:t>
            </w:r>
            <w:proofErr w:type="gramEnd"/>
            <w:r w:rsidRPr="00CD4FF6">
              <w:rPr>
                <w:bCs/>
              </w:rPr>
              <w:t xml:space="preserve">етилметакрилат (мономер) 19,5 мл,  </w:t>
            </w:r>
            <w:r w:rsidRPr="00CD4FF6">
              <w:rPr>
                <w:bCs/>
              </w:rPr>
              <w:br/>
              <w:t xml:space="preserve">-N, </w:t>
            </w:r>
            <w:proofErr w:type="spellStart"/>
            <w:r w:rsidRPr="00CD4FF6">
              <w:rPr>
                <w:bCs/>
              </w:rPr>
              <w:t>N-диметилтолидин</w:t>
            </w:r>
            <w:proofErr w:type="spellEnd"/>
            <w:r w:rsidRPr="00CD4FF6">
              <w:rPr>
                <w:bCs/>
              </w:rPr>
              <w:t xml:space="preserve">  0,5 мл, </w:t>
            </w:r>
            <w:r w:rsidRPr="00CD4FF6">
              <w:rPr>
                <w:bCs/>
              </w:rPr>
              <w:br/>
              <w:t>-</w:t>
            </w:r>
            <w:proofErr w:type="spellStart"/>
            <w:r w:rsidRPr="00CD4FF6">
              <w:rPr>
                <w:bCs/>
              </w:rPr>
              <w:t>Гидрокинон</w:t>
            </w:r>
            <w:proofErr w:type="spellEnd"/>
            <w:r w:rsidRPr="00CD4FF6">
              <w:rPr>
                <w:bCs/>
              </w:rPr>
              <w:t xml:space="preserve"> 1,5 мг.</w:t>
            </w:r>
            <w:r w:rsidRPr="00CD4FF6">
              <w:rPr>
                <w:bCs/>
              </w:rPr>
              <w:br/>
              <w:t xml:space="preserve">Другой компонент: пакет полная доза порошка следующего состава 40 </w:t>
            </w:r>
            <w:proofErr w:type="spellStart"/>
            <w:r w:rsidRPr="00CD4FF6">
              <w:rPr>
                <w:bCs/>
              </w:rPr>
              <w:t>гр</w:t>
            </w:r>
            <w:proofErr w:type="spellEnd"/>
            <w:r w:rsidRPr="00CD4FF6">
              <w:rPr>
                <w:bCs/>
              </w:rPr>
              <w:t>:</w:t>
            </w:r>
            <w:r w:rsidRPr="00CD4FF6">
              <w:rPr>
                <w:bCs/>
              </w:rPr>
              <w:br/>
              <w:t xml:space="preserve"> -Метилметакрилат–</w:t>
            </w:r>
            <w:proofErr w:type="spellStart"/>
            <w:r w:rsidRPr="00CD4FF6">
              <w:rPr>
                <w:bCs/>
              </w:rPr>
              <w:t>стирен</w:t>
            </w:r>
            <w:proofErr w:type="spellEnd"/>
            <w:r w:rsidRPr="00CD4FF6">
              <w:rPr>
                <w:bCs/>
              </w:rPr>
              <w:t xml:space="preserve"> </w:t>
            </w:r>
            <w:proofErr w:type="spellStart"/>
            <w:r w:rsidRPr="00CD4FF6">
              <w:rPr>
                <w:bCs/>
              </w:rPr>
              <w:t>кополимер</w:t>
            </w:r>
            <w:proofErr w:type="spellEnd"/>
            <w:r w:rsidRPr="00CD4FF6">
              <w:rPr>
                <w:bCs/>
              </w:rPr>
              <w:t xml:space="preserve"> 30 </w:t>
            </w:r>
            <w:proofErr w:type="spellStart"/>
            <w:r w:rsidRPr="00CD4FF6">
              <w:rPr>
                <w:bCs/>
              </w:rPr>
              <w:t>гр</w:t>
            </w:r>
            <w:proofErr w:type="spellEnd"/>
            <w:r w:rsidRPr="00CD4FF6">
              <w:rPr>
                <w:bCs/>
              </w:rPr>
              <w:t xml:space="preserve">,  </w:t>
            </w:r>
            <w:r w:rsidRPr="00CD4FF6">
              <w:rPr>
                <w:bCs/>
              </w:rPr>
              <w:br/>
              <w:t xml:space="preserve">-Полиметилметакрилат 6 </w:t>
            </w:r>
            <w:proofErr w:type="spellStart"/>
            <w:r w:rsidRPr="00CD4FF6">
              <w:rPr>
                <w:bCs/>
              </w:rPr>
              <w:t>гр</w:t>
            </w:r>
            <w:proofErr w:type="spellEnd"/>
            <w:r w:rsidRPr="00CD4FF6">
              <w:rPr>
                <w:bCs/>
              </w:rPr>
              <w:t xml:space="preserve">, </w:t>
            </w:r>
            <w:r w:rsidRPr="00CD4FF6">
              <w:rPr>
                <w:bCs/>
              </w:rPr>
              <w:br/>
              <w:t xml:space="preserve"> -Полиметилметакрилат 6 </w:t>
            </w:r>
            <w:proofErr w:type="spellStart"/>
            <w:r w:rsidRPr="00CD4FF6">
              <w:rPr>
                <w:bCs/>
              </w:rPr>
              <w:t>гр</w:t>
            </w:r>
            <w:proofErr w:type="spellEnd"/>
            <w:r w:rsidRPr="00CD4FF6">
              <w:rPr>
                <w:bCs/>
              </w:rPr>
              <w:t>,</w:t>
            </w:r>
            <w:r w:rsidRPr="00CD4FF6">
              <w:rPr>
                <w:bCs/>
              </w:rPr>
              <w:br/>
              <w:t xml:space="preserve"> -Бария Сульфат  4 </w:t>
            </w:r>
            <w:proofErr w:type="spellStart"/>
            <w:r w:rsidRPr="00CD4FF6">
              <w:rPr>
                <w:bCs/>
              </w:rPr>
              <w:t>гр</w:t>
            </w:r>
            <w:proofErr w:type="spellEnd"/>
            <w:r w:rsidRPr="00CD4FF6">
              <w:rPr>
                <w:bCs/>
              </w:rPr>
              <w:t>,</w:t>
            </w:r>
            <w:r w:rsidRPr="00CD4FF6">
              <w:rPr>
                <w:bCs/>
              </w:rPr>
              <w:br/>
              <w:t xml:space="preserve">  Температура экзотермической реакции не более 60</w:t>
            </w:r>
            <w:proofErr w:type="gramStart"/>
            <w:r w:rsidRPr="00CD4FF6">
              <w:rPr>
                <w:bCs/>
              </w:rPr>
              <w:t>˚С</w:t>
            </w:r>
            <w:proofErr w:type="gramEnd"/>
            <w:r w:rsidRPr="00CD4FF6">
              <w:rPr>
                <w:bCs/>
              </w:rPr>
              <w:t>, Вязкость цемента: Должен обладать средней вязкостью. Костный цемент должен в процессе приготовления проходить через фазы низкой и фазу средней вязкости. Производитель должен официально разрешать применять цемент как в фазе низкой, так и в фазе средней вязкости.</w:t>
            </w:r>
            <w:r w:rsidRPr="00CD4FF6">
              <w:rPr>
                <w:bCs/>
              </w:rPr>
              <w:br/>
              <w:t xml:space="preserve">Время работы от 7 до 8 минут. </w:t>
            </w:r>
            <w:r w:rsidRPr="00CD4FF6">
              <w:rPr>
                <w:bCs/>
              </w:rPr>
              <w:br/>
              <w:t>Стерильность: Система является одноразовой и поставляется в стерильной упаковке.</w:t>
            </w:r>
            <w:r w:rsidRPr="00CD4FF6">
              <w:rPr>
                <w:bCs/>
              </w:rPr>
              <w:br/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</w:p>
        </w:tc>
      </w:tr>
      <w:tr w:rsidR="00D765B6" w:rsidRPr="00D765B6" w:rsidTr="00F421C5">
        <w:trPr>
          <w:trHeight w:val="2119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16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>Платиновые спирали</w:t>
            </w:r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Система для </w:t>
            </w:r>
            <w:proofErr w:type="spellStart"/>
            <w:r w:rsidRPr="00CD4FF6">
              <w:rPr>
                <w:bCs/>
              </w:rPr>
              <w:t>эмболизации</w:t>
            </w:r>
            <w:proofErr w:type="spellEnd"/>
            <w:r w:rsidRPr="00CD4FF6">
              <w:rPr>
                <w:bCs/>
              </w:rPr>
              <w:t xml:space="preserve"> артериальных аневризм сосудов головного мозга, состоящая из </w:t>
            </w:r>
            <w:proofErr w:type="gramStart"/>
            <w:r w:rsidRPr="00CD4FF6">
              <w:rPr>
                <w:bCs/>
              </w:rPr>
              <w:t>отделяемой</w:t>
            </w:r>
            <w:proofErr w:type="gramEnd"/>
            <w:r w:rsidRPr="00CD4FF6">
              <w:rPr>
                <w:bCs/>
              </w:rPr>
              <w:t xml:space="preserve"> </w:t>
            </w:r>
            <w:proofErr w:type="spellStart"/>
            <w:r w:rsidRPr="00CD4FF6">
              <w:rPr>
                <w:bCs/>
              </w:rPr>
              <w:t>микроспирали</w:t>
            </w:r>
            <w:proofErr w:type="spellEnd"/>
            <w:r w:rsidRPr="00CD4FF6">
              <w:rPr>
                <w:bCs/>
              </w:rPr>
              <w:t xml:space="preserve">, предустановленной на доставляющем проводнике. Материал </w:t>
            </w:r>
            <w:proofErr w:type="spellStart"/>
            <w:r w:rsidRPr="00CD4FF6">
              <w:rPr>
                <w:bCs/>
              </w:rPr>
              <w:t>микроспирали</w:t>
            </w:r>
            <w:proofErr w:type="spellEnd"/>
            <w:r w:rsidRPr="00CD4FF6">
              <w:rPr>
                <w:bCs/>
              </w:rPr>
              <w:t>: платина (</w:t>
            </w:r>
            <w:proofErr w:type="spellStart"/>
            <w:r w:rsidRPr="00CD4FF6">
              <w:rPr>
                <w:bCs/>
              </w:rPr>
              <w:t>Pt</w:t>
            </w:r>
            <w:proofErr w:type="spellEnd"/>
            <w:r w:rsidRPr="00CD4FF6">
              <w:rPr>
                <w:bCs/>
              </w:rPr>
              <w:t xml:space="preserve">). Механизм отделения </w:t>
            </w:r>
            <w:proofErr w:type="spellStart"/>
            <w:r w:rsidRPr="00CD4FF6">
              <w:rPr>
                <w:bCs/>
              </w:rPr>
              <w:t>микроспирали</w:t>
            </w:r>
            <w:proofErr w:type="spellEnd"/>
            <w:r w:rsidRPr="00CD4FF6">
              <w:rPr>
                <w:bCs/>
              </w:rPr>
              <w:t xml:space="preserve">: электролитический. Время отделения </w:t>
            </w:r>
            <w:proofErr w:type="spellStart"/>
            <w:r w:rsidRPr="00CD4FF6">
              <w:rPr>
                <w:bCs/>
              </w:rPr>
              <w:t>микроспирали</w:t>
            </w:r>
            <w:proofErr w:type="spellEnd"/>
            <w:r w:rsidRPr="00CD4FF6">
              <w:rPr>
                <w:bCs/>
              </w:rPr>
              <w:t xml:space="preserve">: не более 3-х секунд. Наличие трех степеней жесткости: </w:t>
            </w:r>
            <w:proofErr w:type="spellStart"/>
            <w:r w:rsidRPr="00CD4FF6">
              <w:rPr>
                <w:bCs/>
              </w:rPr>
              <w:t>Standard</w:t>
            </w:r>
            <w:proofErr w:type="spellEnd"/>
            <w:r w:rsidRPr="00CD4FF6">
              <w:rPr>
                <w:bCs/>
              </w:rPr>
              <w:t xml:space="preserve">, </w:t>
            </w:r>
            <w:proofErr w:type="spellStart"/>
            <w:r w:rsidRPr="00CD4FF6">
              <w:rPr>
                <w:bCs/>
              </w:rPr>
              <w:t>Soft</w:t>
            </w:r>
            <w:proofErr w:type="spellEnd"/>
            <w:r w:rsidRPr="00CD4FF6">
              <w:rPr>
                <w:bCs/>
              </w:rPr>
              <w:t xml:space="preserve">, </w:t>
            </w:r>
            <w:proofErr w:type="spellStart"/>
            <w:r w:rsidRPr="00CD4FF6">
              <w:rPr>
                <w:bCs/>
              </w:rPr>
              <w:t>Ultra</w:t>
            </w:r>
            <w:proofErr w:type="spellEnd"/>
            <w:r w:rsidRPr="00CD4FF6">
              <w:rPr>
                <w:bCs/>
              </w:rPr>
              <w:t xml:space="preserve">. Наличие конфигураций: 360, </w:t>
            </w:r>
            <w:proofErr w:type="spellStart"/>
            <w:r w:rsidRPr="00CD4FF6">
              <w:rPr>
                <w:bCs/>
              </w:rPr>
              <w:t>Helical</w:t>
            </w:r>
            <w:proofErr w:type="spellEnd"/>
            <w:r w:rsidRPr="00CD4FF6">
              <w:rPr>
                <w:bCs/>
              </w:rPr>
              <w:t xml:space="preserve">, 3D, </w:t>
            </w:r>
            <w:proofErr w:type="spellStart"/>
            <w:r w:rsidRPr="00CD4FF6">
              <w:rPr>
                <w:bCs/>
              </w:rPr>
              <w:t>Nano</w:t>
            </w:r>
            <w:proofErr w:type="spellEnd"/>
            <w:r w:rsidRPr="00CD4FF6">
              <w:rPr>
                <w:bCs/>
              </w:rPr>
              <w:t xml:space="preserve">, XXL. Наличие спиралей диаметром от 1 до 24мм, длиной от 1 до 50см. Наличие </w:t>
            </w:r>
            <w:proofErr w:type="spellStart"/>
            <w:r w:rsidRPr="00CD4FF6">
              <w:rPr>
                <w:bCs/>
              </w:rPr>
              <w:t>ренгеноконтрастного</w:t>
            </w:r>
            <w:proofErr w:type="spellEnd"/>
            <w:r w:rsidRPr="00CD4FF6">
              <w:rPr>
                <w:bCs/>
              </w:rPr>
              <w:t xml:space="preserve"> маркера. Биполярный доставляющий проводник. Технология SR - устойчивость к растяжению. Наличие спиралей толщиной 0.010", 0.014".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30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300 100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9 003 000</w:t>
            </w:r>
          </w:p>
        </w:tc>
      </w:tr>
      <w:tr w:rsidR="00D765B6" w:rsidRPr="00D765B6" w:rsidTr="00F421C5">
        <w:trPr>
          <w:trHeight w:val="1127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lastRenderedPageBreak/>
              <w:t>17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spellStart"/>
            <w:r w:rsidRPr="00CD4FF6">
              <w:rPr>
                <w:bCs/>
              </w:rPr>
              <w:t>Микропроводник</w:t>
            </w:r>
            <w:proofErr w:type="spellEnd"/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r w:rsidRPr="00CD4FF6">
              <w:rPr>
                <w:bCs/>
              </w:rPr>
              <w:t xml:space="preserve">Прогрессивно утончающийся </w:t>
            </w:r>
            <w:proofErr w:type="spellStart"/>
            <w:r w:rsidRPr="00CD4FF6">
              <w:rPr>
                <w:bCs/>
              </w:rPr>
              <w:t>нитиноловый</w:t>
            </w:r>
            <w:proofErr w:type="spellEnd"/>
            <w:r w:rsidRPr="00CD4FF6">
              <w:rPr>
                <w:bCs/>
              </w:rPr>
              <w:t xml:space="preserve"> сердечник, последние 39 см </w:t>
            </w:r>
            <w:proofErr w:type="spellStart"/>
            <w:r w:rsidRPr="00CD4FF6">
              <w:rPr>
                <w:bCs/>
              </w:rPr>
              <w:t>рентгеноконтрастные</w:t>
            </w:r>
            <w:proofErr w:type="spellEnd"/>
            <w:r w:rsidRPr="00CD4FF6">
              <w:rPr>
                <w:bCs/>
              </w:rPr>
              <w:t xml:space="preserve">. Сплав: </w:t>
            </w:r>
            <w:proofErr w:type="spellStart"/>
            <w:r w:rsidRPr="00CD4FF6">
              <w:rPr>
                <w:bCs/>
              </w:rPr>
              <w:t>Scitanium</w:t>
            </w:r>
            <w:proofErr w:type="spellEnd"/>
            <w:r w:rsidRPr="00CD4FF6">
              <w:rPr>
                <w:bCs/>
              </w:rPr>
              <w:t xml:space="preserve">. Лентообразный кончик с возможностью </w:t>
            </w:r>
            <w:proofErr w:type="spellStart"/>
            <w:r w:rsidRPr="00CD4FF6">
              <w:rPr>
                <w:bCs/>
              </w:rPr>
              <w:t>ремоделирования</w:t>
            </w:r>
            <w:proofErr w:type="spellEnd"/>
            <w:r w:rsidRPr="00CD4FF6">
              <w:rPr>
                <w:bCs/>
              </w:rPr>
              <w:t xml:space="preserve"> (не менее 2см). Покрытие: гидрофильное (PTFE). Общая длина не менее 200 см, дистальный диаметр – не более 0,010".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8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210 000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1 680 000</w:t>
            </w:r>
          </w:p>
        </w:tc>
      </w:tr>
      <w:tr w:rsidR="00D765B6" w:rsidRPr="00D765B6" w:rsidTr="00F421C5">
        <w:trPr>
          <w:trHeight w:val="1539"/>
        </w:trPr>
        <w:tc>
          <w:tcPr>
            <w:tcW w:w="534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18</w:t>
            </w:r>
          </w:p>
        </w:tc>
        <w:tc>
          <w:tcPr>
            <w:tcW w:w="2372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spellStart"/>
            <w:r w:rsidRPr="00CD4FF6">
              <w:rPr>
                <w:bCs/>
              </w:rPr>
              <w:t>Микрокатетор</w:t>
            </w:r>
            <w:proofErr w:type="spellEnd"/>
          </w:p>
        </w:tc>
        <w:tc>
          <w:tcPr>
            <w:tcW w:w="8826" w:type="dxa"/>
            <w:hideMark/>
          </w:tcPr>
          <w:p w:rsidR="00D765B6" w:rsidRPr="00CD4FF6" w:rsidRDefault="00D765B6" w:rsidP="00D765B6">
            <w:pPr>
              <w:jc w:val="both"/>
              <w:rPr>
                <w:bCs/>
              </w:rPr>
            </w:pPr>
            <w:proofErr w:type="gramStart"/>
            <w:r w:rsidRPr="00CD4FF6">
              <w:rPr>
                <w:bCs/>
              </w:rPr>
              <w:t>Армированный</w:t>
            </w:r>
            <w:proofErr w:type="gramEnd"/>
            <w:r w:rsidRPr="00CD4FF6">
              <w:rPr>
                <w:bCs/>
              </w:rPr>
              <w:t xml:space="preserve"> по всей длине </w:t>
            </w:r>
            <w:proofErr w:type="spellStart"/>
            <w:r w:rsidRPr="00CD4FF6">
              <w:rPr>
                <w:bCs/>
              </w:rPr>
              <w:t>микрокатетер</w:t>
            </w:r>
            <w:proofErr w:type="spellEnd"/>
            <w:r w:rsidRPr="00CD4FF6">
              <w:rPr>
                <w:bCs/>
              </w:rPr>
              <w:t xml:space="preserve"> с гидрофильным покрытием. Длина дистальной части 6 см. Ультратонкий ультрамягкий кончик с </w:t>
            </w:r>
            <w:proofErr w:type="spellStart"/>
            <w:r w:rsidRPr="00CD4FF6">
              <w:rPr>
                <w:bCs/>
              </w:rPr>
              <w:t>рентгеноконтрастными</w:t>
            </w:r>
            <w:proofErr w:type="spellEnd"/>
            <w:r w:rsidRPr="00CD4FF6">
              <w:rPr>
                <w:bCs/>
              </w:rPr>
              <w:t xml:space="preserve"> маркерами, возможность моделирования. Наличие вариантов форм кончика: изгиб 45 °, изгиб 90°, прямой, кривизна: J, кривизна C, кривизна S. Диаметр наружный: дистальной части 1,7F, проксимальной части 2,4F. Диаметр внутренний 0,0165". Совместимость с проводниками: 0.010", 0.014". Длина катетера 150 см. </w:t>
            </w:r>
          </w:p>
        </w:tc>
        <w:tc>
          <w:tcPr>
            <w:tcW w:w="740" w:type="dxa"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proofErr w:type="spellStart"/>
            <w:proofErr w:type="gramStart"/>
            <w:r w:rsidRPr="00CD4FF6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8</w:t>
            </w:r>
          </w:p>
        </w:tc>
        <w:tc>
          <w:tcPr>
            <w:tcW w:w="1097" w:type="dxa"/>
            <w:noWrap/>
            <w:vAlign w:val="center"/>
            <w:hideMark/>
          </w:tcPr>
          <w:p w:rsidR="00D765B6" w:rsidRPr="00CD4FF6" w:rsidRDefault="00D765B6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248 000</w:t>
            </w:r>
          </w:p>
        </w:tc>
        <w:tc>
          <w:tcPr>
            <w:tcW w:w="1420" w:type="dxa"/>
            <w:noWrap/>
            <w:vAlign w:val="center"/>
            <w:hideMark/>
          </w:tcPr>
          <w:p w:rsidR="00D765B6" w:rsidRPr="00CD4FF6" w:rsidRDefault="00F421C5" w:rsidP="00F421C5">
            <w:pPr>
              <w:jc w:val="center"/>
              <w:rPr>
                <w:bCs/>
              </w:rPr>
            </w:pPr>
            <w:r>
              <w:rPr>
                <w:bCs/>
              </w:rPr>
              <w:t>1 984 000</w:t>
            </w:r>
          </w:p>
        </w:tc>
      </w:tr>
      <w:tr w:rsidR="004B24B9" w:rsidRPr="00D765B6" w:rsidTr="004B24B9">
        <w:trPr>
          <w:trHeight w:val="271"/>
        </w:trPr>
        <w:tc>
          <w:tcPr>
            <w:tcW w:w="534" w:type="dxa"/>
            <w:vAlign w:val="center"/>
            <w:hideMark/>
          </w:tcPr>
          <w:p w:rsidR="004B24B9" w:rsidRPr="00CD4FF6" w:rsidRDefault="004B24B9" w:rsidP="00CD4FF6">
            <w:pPr>
              <w:jc w:val="center"/>
              <w:rPr>
                <w:bCs/>
              </w:rPr>
            </w:pPr>
          </w:p>
        </w:tc>
        <w:tc>
          <w:tcPr>
            <w:tcW w:w="2372" w:type="dxa"/>
            <w:hideMark/>
          </w:tcPr>
          <w:p w:rsidR="004B24B9" w:rsidRPr="004D329C" w:rsidRDefault="004B24B9" w:rsidP="00D765B6">
            <w:pPr>
              <w:jc w:val="both"/>
              <w:rPr>
                <w:b/>
                <w:bCs/>
              </w:rPr>
            </w:pPr>
            <w:r w:rsidRPr="004D329C">
              <w:rPr>
                <w:b/>
                <w:bCs/>
              </w:rPr>
              <w:t>ИТОГО</w:t>
            </w:r>
          </w:p>
        </w:tc>
        <w:tc>
          <w:tcPr>
            <w:tcW w:w="8826" w:type="dxa"/>
            <w:hideMark/>
          </w:tcPr>
          <w:p w:rsidR="004B24B9" w:rsidRPr="00CD4FF6" w:rsidRDefault="004B24B9" w:rsidP="00D765B6">
            <w:pPr>
              <w:jc w:val="both"/>
              <w:rPr>
                <w:bCs/>
              </w:rPr>
            </w:pPr>
          </w:p>
        </w:tc>
        <w:tc>
          <w:tcPr>
            <w:tcW w:w="740" w:type="dxa"/>
            <w:vAlign w:val="center"/>
            <w:hideMark/>
          </w:tcPr>
          <w:p w:rsidR="004B24B9" w:rsidRPr="00CD4FF6" w:rsidRDefault="004B24B9" w:rsidP="00CD4FF6">
            <w:pPr>
              <w:jc w:val="center"/>
              <w:rPr>
                <w:bCs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4B24B9" w:rsidRPr="00CD4FF6" w:rsidRDefault="004B24B9" w:rsidP="00CD4FF6">
            <w:pPr>
              <w:jc w:val="center"/>
              <w:rPr>
                <w:bCs/>
              </w:rPr>
            </w:pPr>
          </w:p>
        </w:tc>
        <w:tc>
          <w:tcPr>
            <w:tcW w:w="1097" w:type="dxa"/>
            <w:noWrap/>
            <w:vAlign w:val="center"/>
            <w:hideMark/>
          </w:tcPr>
          <w:p w:rsidR="004B24B9" w:rsidRPr="00CD4FF6" w:rsidRDefault="004B24B9" w:rsidP="00CD4FF6">
            <w:pPr>
              <w:jc w:val="center"/>
              <w:rPr>
                <w:bCs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4B24B9" w:rsidRPr="004D329C" w:rsidRDefault="004D329C" w:rsidP="00F421C5">
            <w:pPr>
              <w:jc w:val="center"/>
              <w:rPr>
                <w:b/>
                <w:bCs/>
              </w:rPr>
            </w:pPr>
            <w:r w:rsidRPr="004D329C">
              <w:rPr>
                <w:b/>
                <w:bCs/>
              </w:rPr>
              <w:t>123 420 000</w:t>
            </w:r>
          </w:p>
        </w:tc>
      </w:tr>
    </w:tbl>
    <w:p w:rsidR="00C275D0" w:rsidRDefault="00C275D0" w:rsidP="00F421C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</w:p>
    <w:p w:rsidR="00C275D0" w:rsidRPr="00A97B0F" w:rsidRDefault="007E7FB5" w:rsidP="007D77A9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>:</w:t>
      </w:r>
      <w:r w:rsidRPr="00F82607">
        <w:rPr>
          <w:b/>
        </w:rPr>
        <w:t xml:space="preserve"> </w:t>
      </w:r>
      <w:r w:rsidRPr="00F82607">
        <w:t>Государственное коммунальное  предприятия на праве хозяйственного ведения «</w:t>
      </w:r>
      <w:r w:rsidR="00C275D0">
        <w:t>Многопрофильная</w:t>
      </w:r>
      <w:r w:rsidRPr="00F82607">
        <w:t xml:space="preserve"> областная больница» при Управлении здравоохранения </w:t>
      </w:r>
      <w:proofErr w:type="spellStart"/>
      <w:r w:rsidRPr="00F82607">
        <w:t>Акмолинской</w:t>
      </w:r>
      <w:proofErr w:type="spellEnd"/>
      <w:r w:rsidRPr="00F82607">
        <w:t xml:space="preserve"> области,  </w:t>
      </w:r>
      <w:proofErr w:type="spellStart"/>
      <w:r w:rsidRPr="00F82607">
        <w:t>Акмолин</w:t>
      </w:r>
      <w:r w:rsidR="000841D9">
        <w:t>ская</w:t>
      </w:r>
      <w:proofErr w:type="spellEnd"/>
      <w:r w:rsidR="000841D9">
        <w:t xml:space="preserve"> область, </w:t>
      </w:r>
      <w:proofErr w:type="gramStart"/>
      <w:r w:rsidR="000841D9">
        <w:t>г</w:t>
      </w:r>
      <w:proofErr w:type="gramEnd"/>
      <w:r w:rsidR="000841D9">
        <w:t xml:space="preserve">. Кокшетау, ул. </w:t>
      </w:r>
      <w:r w:rsidR="00194E58">
        <w:t xml:space="preserve">Р. </w:t>
      </w:r>
      <w:proofErr w:type="spellStart"/>
      <w:r w:rsidR="00194E58">
        <w:t>Сабатаева</w:t>
      </w:r>
      <w:proofErr w:type="spellEnd"/>
      <w:r w:rsidR="00194E58">
        <w:t xml:space="preserve">, 1, </w:t>
      </w:r>
      <w:r w:rsidR="00EA22CA">
        <w:t>склад ИМН.</w:t>
      </w:r>
      <w:r w:rsidRPr="000F5F16">
        <w:br/>
      </w:r>
      <w:r w:rsidRPr="00C605A3">
        <w:rPr>
          <w:b/>
        </w:rPr>
        <w:t>    </w:t>
      </w:r>
      <w:r>
        <w:rPr>
          <w:b/>
        </w:rPr>
        <w:t xml:space="preserve">     </w:t>
      </w:r>
      <w:r w:rsidRPr="00C605A3">
        <w:rPr>
          <w:b/>
        </w:rPr>
        <w:t>  Требуемый срок поставки</w:t>
      </w:r>
      <w:r w:rsidRPr="0049536F">
        <w:t xml:space="preserve">  - </w:t>
      </w:r>
      <w:r>
        <w:t xml:space="preserve"> </w:t>
      </w:r>
      <w:r w:rsidR="005B11EB">
        <w:rPr>
          <w:color w:val="000000"/>
        </w:rPr>
        <w:t>в течени</w:t>
      </w:r>
      <w:proofErr w:type="gramStart"/>
      <w:r w:rsidR="005B11EB">
        <w:rPr>
          <w:color w:val="000000"/>
        </w:rPr>
        <w:t>и</w:t>
      </w:r>
      <w:proofErr w:type="gramEnd"/>
      <w:r w:rsidR="005B11EB">
        <w:rPr>
          <w:color w:val="000000"/>
        </w:rPr>
        <w:t xml:space="preserve"> 15 календарных дней </w:t>
      </w:r>
      <w:r w:rsidR="00C36CB4">
        <w:rPr>
          <w:color w:val="000000"/>
        </w:rPr>
        <w:t>по заявке Заказчика в течении 2019 года</w:t>
      </w:r>
      <w:r w:rsidR="000841D9">
        <w:rPr>
          <w:color w:val="000000"/>
        </w:rPr>
        <w:t>.</w:t>
      </w:r>
    </w:p>
    <w:p w:rsidR="007E7FB5" w:rsidRPr="00C275D0" w:rsidRDefault="007E7FB5" w:rsidP="007D77A9">
      <w:pPr>
        <w:ind w:firstLine="708"/>
        <w:jc w:val="both"/>
        <w:rPr>
          <w:b/>
          <w:sz w:val="28"/>
          <w:szCs w:val="28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 Доставить товар по количеству, качеству, ассортименту</w:t>
      </w:r>
      <w:r>
        <w:rPr>
          <w:spacing w:val="2"/>
        </w:rPr>
        <w:t xml:space="preserve"> согласно технической спецификации</w:t>
      </w:r>
      <w:r w:rsidRPr="00231AAE">
        <w:rPr>
          <w:spacing w:val="2"/>
        </w:rPr>
        <w:t xml:space="preserve"> в указанные сроки.</w:t>
      </w:r>
      <w:r w:rsidRPr="000F5F16">
        <w:br/>
        <w:t>      Пакет тендерной документации можно получить по адресу:</w:t>
      </w:r>
      <w:r>
        <w:t xml:space="preserve"> </w:t>
      </w:r>
      <w:r w:rsidRPr="000F5F16">
        <w:t xml:space="preserve">020000, </w:t>
      </w:r>
      <w:proofErr w:type="spellStart"/>
      <w:r w:rsidRPr="000F5F16">
        <w:t>Акмолинская</w:t>
      </w:r>
      <w:proofErr w:type="spellEnd"/>
      <w:r w:rsidRPr="000F5F16">
        <w:t xml:space="preserve"> область, </w:t>
      </w:r>
      <w:proofErr w:type="gramStart"/>
      <w:r w:rsidRPr="000F5F16">
        <w:t>г</w:t>
      </w:r>
      <w:proofErr w:type="gramEnd"/>
      <w:r w:rsidRPr="000F5F16">
        <w:t>. Кокшетау, ул.</w:t>
      </w:r>
      <w:r w:rsidR="00954E78">
        <w:t xml:space="preserve"> 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>
        <w:rPr>
          <w:lang w:val="kk-KZ"/>
        </w:rPr>
        <w:t>отдел государственных закупок</w:t>
      </w:r>
      <w:r>
        <w:t>,</w:t>
      </w:r>
      <w:r w:rsidRPr="004D0CCF">
        <w:t xml:space="preserve"> </w:t>
      </w:r>
      <w:r>
        <w:t>или  на интернет ресурсе</w:t>
      </w:r>
      <w:r w:rsidRPr="000F5F16">
        <w:t xml:space="preserve">: </w:t>
      </w:r>
      <w:proofErr w:type="spellStart"/>
      <w:r w:rsidR="00C275D0" w:rsidRPr="00C275D0">
        <w:rPr>
          <w:b/>
        </w:rPr>
        <w:t>akmolamob.kz</w:t>
      </w:r>
      <w:proofErr w:type="spellEnd"/>
      <w:r w:rsidR="00C275D0">
        <w:rPr>
          <w:b/>
          <w:sz w:val="28"/>
          <w:szCs w:val="28"/>
        </w:rPr>
        <w:t>.</w:t>
      </w:r>
    </w:p>
    <w:p w:rsidR="00A32367" w:rsidRDefault="007E7FB5" w:rsidP="007D77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F5F16">
        <w:t>Конверты с тендерными заявками</w:t>
      </w:r>
      <w:r>
        <w:t xml:space="preserve"> представляются  </w:t>
      </w:r>
      <w:r w:rsidRPr="000F5F16">
        <w:t xml:space="preserve">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</w:t>
      </w:r>
      <w:proofErr w:type="gramStart"/>
      <w:r w:rsidRPr="000F5F16">
        <w:t>г</w:t>
      </w:r>
      <w:proofErr w:type="gramEnd"/>
      <w:r w:rsidRPr="000F5F16">
        <w:t>.</w:t>
      </w:r>
      <w:r w:rsidR="000841D9">
        <w:t xml:space="preserve"> </w:t>
      </w:r>
      <w:r w:rsidRPr="000F5F16">
        <w:t>Кокшетау, ул.</w:t>
      </w:r>
      <w:r w:rsidR="000841D9">
        <w:t xml:space="preserve"> </w:t>
      </w:r>
      <w:r w:rsidR="00C07E61">
        <w:t xml:space="preserve">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 w:rsidRPr="000F5F16">
        <w:rPr>
          <w:lang w:val="kk-KZ"/>
        </w:rPr>
        <w:t>отдел государственных закупок</w:t>
      </w:r>
      <w:r w:rsidRPr="000F5F16">
        <w:t>. </w:t>
      </w:r>
      <w:r>
        <w:br/>
        <w:t>    </w:t>
      </w:r>
      <w:r w:rsidRPr="000F5F16">
        <w:t xml:space="preserve">Окончательный срок представления тендерных заявок до </w:t>
      </w:r>
      <w:r w:rsidR="007D77A9" w:rsidRPr="0052036A">
        <w:rPr>
          <w:b/>
        </w:rPr>
        <w:t>9.3</w:t>
      </w:r>
      <w:r w:rsidRPr="0052036A">
        <w:rPr>
          <w:b/>
        </w:rPr>
        <w:t>0</w:t>
      </w:r>
      <w:r w:rsidRPr="000F5F16">
        <w:t xml:space="preserve"> ч </w:t>
      </w:r>
      <w:r w:rsidRPr="000F5F16">
        <w:rPr>
          <w:b/>
        </w:rPr>
        <w:t>"</w:t>
      </w:r>
      <w:r w:rsidR="0052036A">
        <w:rPr>
          <w:b/>
        </w:rPr>
        <w:t>20</w:t>
      </w:r>
      <w:r w:rsidRPr="000F5F16">
        <w:rPr>
          <w:b/>
        </w:rPr>
        <w:t>"</w:t>
      </w:r>
      <w:r>
        <w:rPr>
          <w:b/>
        </w:rPr>
        <w:t xml:space="preserve"> </w:t>
      </w:r>
      <w:r w:rsidR="001652BC">
        <w:rPr>
          <w:b/>
        </w:rPr>
        <w:t>марта</w:t>
      </w:r>
      <w:r>
        <w:rPr>
          <w:b/>
        </w:rPr>
        <w:t xml:space="preserve"> </w:t>
      </w:r>
      <w:r w:rsidRPr="000F5F16">
        <w:t xml:space="preserve"> </w:t>
      </w:r>
      <w:r w:rsidRPr="000F5F16">
        <w:rPr>
          <w:b/>
        </w:rPr>
        <w:t>201</w:t>
      </w:r>
      <w:r w:rsidR="000841D9">
        <w:rPr>
          <w:b/>
        </w:rPr>
        <w:t>9</w:t>
      </w:r>
      <w:r w:rsidRPr="000F5F16">
        <w:rPr>
          <w:b/>
        </w:rPr>
        <w:t xml:space="preserve"> г.</w:t>
      </w:r>
      <w:r w:rsidRPr="000F5F16">
        <w:rPr>
          <w:b/>
        </w:rPr>
        <w:br/>
      </w:r>
      <w:r w:rsidRPr="000F5F16">
        <w:t xml:space="preserve">      Конверты с тендерными заявками будут вскрываться в </w:t>
      </w:r>
      <w:r w:rsidRPr="0052036A">
        <w:rPr>
          <w:b/>
        </w:rPr>
        <w:t>1</w:t>
      </w:r>
      <w:r w:rsidR="007D77A9" w:rsidRPr="0052036A">
        <w:rPr>
          <w:b/>
        </w:rPr>
        <w:t>1</w:t>
      </w:r>
      <w:r w:rsidRPr="0052036A">
        <w:rPr>
          <w:b/>
        </w:rPr>
        <w:t>.</w:t>
      </w:r>
      <w:r w:rsidR="007D77A9" w:rsidRPr="0052036A">
        <w:rPr>
          <w:b/>
        </w:rPr>
        <w:t>3</w:t>
      </w:r>
      <w:r w:rsidRPr="0052036A">
        <w:rPr>
          <w:b/>
        </w:rPr>
        <w:t>0</w:t>
      </w:r>
      <w:r w:rsidRPr="000F5F16">
        <w:t xml:space="preserve"> ч </w:t>
      </w:r>
      <w:r w:rsidRPr="000F5F16">
        <w:rPr>
          <w:b/>
        </w:rPr>
        <w:t>"</w:t>
      </w:r>
      <w:r w:rsidR="0052036A">
        <w:rPr>
          <w:b/>
        </w:rPr>
        <w:t>20</w:t>
      </w:r>
      <w:r w:rsidRPr="000F5F16">
        <w:rPr>
          <w:b/>
        </w:rPr>
        <w:t>"</w:t>
      </w:r>
      <w:r>
        <w:rPr>
          <w:b/>
        </w:rPr>
        <w:t xml:space="preserve"> </w:t>
      </w:r>
      <w:r w:rsidR="00E351C4">
        <w:rPr>
          <w:b/>
        </w:rPr>
        <w:t>марта</w:t>
      </w:r>
      <w:r w:rsidRPr="000F5F16">
        <w:rPr>
          <w:b/>
        </w:rPr>
        <w:t xml:space="preserve"> 201</w:t>
      </w:r>
      <w:r w:rsidR="000841D9">
        <w:rPr>
          <w:b/>
        </w:rPr>
        <w:t>9</w:t>
      </w:r>
      <w:r w:rsidRPr="000F5F16">
        <w:rPr>
          <w:b/>
        </w:rPr>
        <w:t xml:space="preserve"> г</w:t>
      </w:r>
      <w:r w:rsidRPr="000F5F16">
        <w:t xml:space="preserve">.  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г.</w:t>
      </w:r>
      <w:r w:rsidR="000841D9">
        <w:t xml:space="preserve"> </w:t>
      </w:r>
      <w:r w:rsidRPr="000F5F16">
        <w:t>Кокшетау, ул.</w:t>
      </w:r>
      <w:r w:rsidR="000841D9">
        <w:t xml:space="preserve"> </w:t>
      </w:r>
      <w:r w:rsidR="00C07E61">
        <w:t xml:space="preserve">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 w:rsidRPr="000F5F16">
        <w:rPr>
          <w:lang w:val="kk-KZ"/>
        </w:rPr>
        <w:t>отдел государственных закупок</w:t>
      </w:r>
      <w:r w:rsidRPr="000F5F16">
        <w:t>.   Потенциальные поставщики могут присутствовать при вскрытии конвертов с тендерными заявками.</w:t>
      </w:r>
      <w:r w:rsidRPr="000F5F16">
        <w:br/>
        <w:t>      Дополнительную информацию и справку можно получить по телефону: 8 -716-2-</w:t>
      </w:r>
      <w:r>
        <w:t>26-</w:t>
      </w:r>
      <w:r w:rsidR="000841D9">
        <w:t>95</w:t>
      </w:r>
      <w:r>
        <w:t>-</w:t>
      </w:r>
      <w:r w:rsidR="000841D9">
        <w:t>8</w:t>
      </w:r>
      <w:r>
        <w:t>5.</w:t>
      </w:r>
    </w:p>
    <w:p w:rsidR="00C07E61" w:rsidRDefault="00C07E61" w:rsidP="007D77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5837AB" w:rsidRPr="00A97B0F" w:rsidRDefault="005837AB" w:rsidP="007D77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A32367" w:rsidRPr="00302795" w:rsidRDefault="00C275D0" w:rsidP="00A32367">
      <w:pPr>
        <w:rPr>
          <w:b/>
        </w:rPr>
      </w:pPr>
      <w:r>
        <w:rPr>
          <w:b/>
        </w:rPr>
        <w:t>Директор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Государственного коммунального  предприятия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на ПХВ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</w:t>
      </w:r>
    </w:p>
    <w:p w:rsidR="003668B6" w:rsidRPr="00A32367" w:rsidRDefault="00A32367" w:rsidP="00A32367">
      <w:r w:rsidRPr="00302795">
        <w:rPr>
          <w:b/>
        </w:rPr>
        <w:t xml:space="preserve">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        </w:t>
      </w:r>
      <w:r>
        <w:rPr>
          <w:b/>
        </w:rPr>
        <w:t xml:space="preserve">                         </w:t>
      </w:r>
      <w:r w:rsidRPr="00302795">
        <w:rPr>
          <w:b/>
        </w:rPr>
        <w:t xml:space="preserve">        </w:t>
      </w:r>
      <w:r w:rsidR="00C275D0">
        <w:rPr>
          <w:b/>
        </w:rPr>
        <w:t>Жаров Н.</w:t>
      </w:r>
      <w:r w:rsidR="000841D9">
        <w:rPr>
          <w:b/>
        </w:rPr>
        <w:t xml:space="preserve"> </w:t>
      </w:r>
      <w:r w:rsidR="00C275D0">
        <w:rPr>
          <w:b/>
        </w:rPr>
        <w:t>К.</w:t>
      </w:r>
    </w:p>
    <w:sectPr w:rsidR="003668B6" w:rsidRPr="00A32367" w:rsidSect="00D765B6">
      <w:pgSz w:w="16838" w:h="11906" w:orient="landscape"/>
      <w:pgMar w:top="851" w:right="1812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68B6"/>
    <w:rsid w:val="000346AF"/>
    <w:rsid w:val="00043190"/>
    <w:rsid w:val="0006058E"/>
    <w:rsid w:val="0006087F"/>
    <w:rsid w:val="000775DE"/>
    <w:rsid w:val="000841D9"/>
    <w:rsid w:val="000B47D8"/>
    <w:rsid w:val="000B7872"/>
    <w:rsid w:val="000D7AB1"/>
    <w:rsid w:val="000F1B69"/>
    <w:rsid w:val="001019E0"/>
    <w:rsid w:val="001453FE"/>
    <w:rsid w:val="00160DEF"/>
    <w:rsid w:val="001652BC"/>
    <w:rsid w:val="00194E58"/>
    <w:rsid w:val="001A7206"/>
    <w:rsid w:val="001D5D64"/>
    <w:rsid w:val="001F0605"/>
    <w:rsid w:val="001F45D9"/>
    <w:rsid w:val="002368F3"/>
    <w:rsid w:val="00237F91"/>
    <w:rsid w:val="00245110"/>
    <w:rsid w:val="002744AB"/>
    <w:rsid w:val="002E4CB3"/>
    <w:rsid w:val="00347CAF"/>
    <w:rsid w:val="003668B6"/>
    <w:rsid w:val="00371591"/>
    <w:rsid w:val="0037383F"/>
    <w:rsid w:val="00387D9A"/>
    <w:rsid w:val="00391A83"/>
    <w:rsid w:val="003B1B4A"/>
    <w:rsid w:val="003B2471"/>
    <w:rsid w:val="003B36AC"/>
    <w:rsid w:val="003E4DC4"/>
    <w:rsid w:val="00405C5C"/>
    <w:rsid w:val="004144AF"/>
    <w:rsid w:val="0042247F"/>
    <w:rsid w:val="00430AAD"/>
    <w:rsid w:val="004310CF"/>
    <w:rsid w:val="00483E69"/>
    <w:rsid w:val="00492406"/>
    <w:rsid w:val="0049536F"/>
    <w:rsid w:val="004A4E83"/>
    <w:rsid w:val="004B24B9"/>
    <w:rsid w:val="004C15C8"/>
    <w:rsid w:val="004C3B43"/>
    <w:rsid w:val="004D0CCF"/>
    <w:rsid w:val="004D1760"/>
    <w:rsid w:val="004D1D5F"/>
    <w:rsid w:val="004D329C"/>
    <w:rsid w:val="004D4A3B"/>
    <w:rsid w:val="004D56F4"/>
    <w:rsid w:val="004E3D2B"/>
    <w:rsid w:val="0052036A"/>
    <w:rsid w:val="00534424"/>
    <w:rsid w:val="00554D82"/>
    <w:rsid w:val="00573D4C"/>
    <w:rsid w:val="005837AB"/>
    <w:rsid w:val="005842CB"/>
    <w:rsid w:val="00584A1A"/>
    <w:rsid w:val="00584AB3"/>
    <w:rsid w:val="005A4336"/>
    <w:rsid w:val="005B11EB"/>
    <w:rsid w:val="005E2886"/>
    <w:rsid w:val="005E2AE1"/>
    <w:rsid w:val="005F150D"/>
    <w:rsid w:val="00605A71"/>
    <w:rsid w:val="00623D39"/>
    <w:rsid w:val="00653979"/>
    <w:rsid w:val="00657B62"/>
    <w:rsid w:val="006626C7"/>
    <w:rsid w:val="006A7703"/>
    <w:rsid w:val="006C5A76"/>
    <w:rsid w:val="006D1A6F"/>
    <w:rsid w:val="006E0C40"/>
    <w:rsid w:val="006F11B8"/>
    <w:rsid w:val="007033EE"/>
    <w:rsid w:val="007130CB"/>
    <w:rsid w:val="00730403"/>
    <w:rsid w:val="007746CF"/>
    <w:rsid w:val="00775681"/>
    <w:rsid w:val="00797299"/>
    <w:rsid w:val="007A4899"/>
    <w:rsid w:val="007B3117"/>
    <w:rsid w:val="007D77A9"/>
    <w:rsid w:val="007E7FB5"/>
    <w:rsid w:val="008044F6"/>
    <w:rsid w:val="00807FC1"/>
    <w:rsid w:val="00822F6C"/>
    <w:rsid w:val="00854475"/>
    <w:rsid w:val="008C5AE6"/>
    <w:rsid w:val="008C6D47"/>
    <w:rsid w:val="008E4B39"/>
    <w:rsid w:val="0093339B"/>
    <w:rsid w:val="00954E78"/>
    <w:rsid w:val="0099525B"/>
    <w:rsid w:val="009D13A5"/>
    <w:rsid w:val="00A0576A"/>
    <w:rsid w:val="00A1064A"/>
    <w:rsid w:val="00A32367"/>
    <w:rsid w:val="00A75B3D"/>
    <w:rsid w:val="00A90862"/>
    <w:rsid w:val="00A956D8"/>
    <w:rsid w:val="00A97B0F"/>
    <w:rsid w:val="00B07B3C"/>
    <w:rsid w:val="00B25165"/>
    <w:rsid w:val="00B3047A"/>
    <w:rsid w:val="00B42FD3"/>
    <w:rsid w:val="00B9183D"/>
    <w:rsid w:val="00C07E61"/>
    <w:rsid w:val="00C12789"/>
    <w:rsid w:val="00C21E81"/>
    <w:rsid w:val="00C2249B"/>
    <w:rsid w:val="00C275D0"/>
    <w:rsid w:val="00C36CB4"/>
    <w:rsid w:val="00C45DCE"/>
    <w:rsid w:val="00C605A3"/>
    <w:rsid w:val="00C7451B"/>
    <w:rsid w:val="00C9143C"/>
    <w:rsid w:val="00CB2665"/>
    <w:rsid w:val="00CD3C97"/>
    <w:rsid w:val="00CD4FF6"/>
    <w:rsid w:val="00CD52D9"/>
    <w:rsid w:val="00CF6529"/>
    <w:rsid w:val="00D00FF9"/>
    <w:rsid w:val="00D257C9"/>
    <w:rsid w:val="00D47351"/>
    <w:rsid w:val="00D52BC5"/>
    <w:rsid w:val="00D61013"/>
    <w:rsid w:val="00D765B6"/>
    <w:rsid w:val="00D8292E"/>
    <w:rsid w:val="00DA1BC2"/>
    <w:rsid w:val="00DD3404"/>
    <w:rsid w:val="00DE0744"/>
    <w:rsid w:val="00E22938"/>
    <w:rsid w:val="00E351C4"/>
    <w:rsid w:val="00E56957"/>
    <w:rsid w:val="00E63AFE"/>
    <w:rsid w:val="00E76447"/>
    <w:rsid w:val="00EA22CA"/>
    <w:rsid w:val="00EC4F3F"/>
    <w:rsid w:val="00F02E90"/>
    <w:rsid w:val="00F03D0F"/>
    <w:rsid w:val="00F04DF0"/>
    <w:rsid w:val="00F05602"/>
    <w:rsid w:val="00F11AA6"/>
    <w:rsid w:val="00F12031"/>
    <w:rsid w:val="00F155A7"/>
    <w:rsid w:val="00F22873"/>
    <w:rsid w:val="00F40A95"/>
    <w:rsid w:val="00F41949"/>
    <w:rsid w:val="00F421C5"/>
    <w:rsid w:val="00F5297E"/>
    <w:rsid w:val="00F53685"/>
    <w:rsid w:val="00F61C80"/>
    <w:rsid w:val="00F61E5A"/>
    <w:rsid w:val="00F667BE"/>
    <w:rsid w:val="00F66978"/>
    <w:rsid w:val="00F71B24"/>
    <w:rsid w:val="00F8392D"/>
    <w:rsid w:val="00FA39AB"/>
    <w:rsid w:val="00F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68B6"/>
    <w:rPr>
      <w:color w:val="0000FF"/>
      <w:u w:val="single"/>
    </w:rPr>
  </w:style>
  <w:style w:type="paragraph" w:styleId="a4">
    <w:name w:val="Body Text"/>
    <w:basedOn w:val="a"/>
    <w:link w:val="a5"/>
    <w:rsid w:val="003668B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66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3668B6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6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76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E437-E4C9-4AE0-80AF-46844F8F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109</cp:revision>
  <cp:lastPrinted>2019-01-15T02:49:00Z</cp:lastPrinted>
  <dcterms:created xsi:type="dcterms:W3CDTF">2015-08-25T09:42:00Z</dcterms:created>
  <dcterms:modified xsi:type="dcterms:W3CDTF">2019-02-27T12:18:00Z</dcterms:modified>
</cp:coreProperties>
</file>